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93ED0" w14:textId="7A4E9341" w:rsidR="0028333C" w:rsidRDefault="0028333C" w:rsidP="0028333C">
      <w:pPr>
        <w:pStyle w:val="Titre1"/>
        <w:numPr>
          <w:ilvl w:val="0"/>
          <w:numId w:val="0"/>
        </w:numPr>
        <w:rPr>
          <w:rFonts w:asciiTheme="majorBidi" w:hAnsiTheme="majorBidi"/>
          <w:color w:val="538135" w:themeColor="accent6" w:themeShade="BF"/>
        </w:rPr>
      </w:pPr>
      <w:bookmarkStart w:id="0" w:name="_Toc45959791"/>
      <w:r>
        <w:rPr>
          <w:rFonts w:asciiTheme="majorBidi" w:hAnsiTheme="majorBidi"/>
          <w:noProof/>
          <w:color w:val="70AD47" w:themeColor="accent6"/>
        </w:rPr>
        <w:drawing>
          <wp:anchor distT="0" distB="0" distL="114300" distR="114300" simplePos="0" relativeHeight="251661312" behindDoc="1" locked="0" layoutInCell="1" allowOverlap="1" wp14:anchorId="4A30CCFA" wp14:editId="581D2C41">
            <wp:simplePos x="0" y="0"/>
            <wp:positionH relativeFrom="page">
              <wp:align>left</wp:align>
            </wp:positionH>
            <wp:positionV relativeFrom="paragraph">
              <wp:posOffset>-833120</wp:posOffset>
            </wp:positionV>
            <wp:extent cx="7553325" cy="10601325"/>
            <wp:effectExtent l="0" t="0" r="952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3325" cy="1060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788E101" wp14:editId="5A62E3D5">
            <wp:simplePos x="0" y="0"/>
            <wp:positionH relativeFrom="column">
              <wp:posOffset>2119630</wp:posOffset>
            </wp:positionH>
            <wp:positionV relativeFrom="paragraph">
              <wp:posOffset>128905</wp:posOffset>
            </wp:positionV>
            <wp:extent cx="1274445" cy="1229210"/>
            <wp:effectExtent l="0" t="0" r="190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4445" cy="1229210"/>
                    </a:xfrm>
                    <a:prstGeom prst="rect">
                      <a:avLst/>
                    </a:prstGeom>
                    <a:noFill/>
                    <a:ln>
                      <a:noFill/>
                    </a:ln>
                  </pic:spPr>
                </pic:pic>
              </a:graphicData>
            </a:graphic>
          </wp:anchor>
        </w:drawing>
      </w:r>
    </w:p>
    <w:p w14:paraId="672F49DC" w14:textId="746CB998" w:rsidR="0028333C" w:rsidRDefault="0028333C" w:rsidP="0028333C">
      <w:pPr>
        <w:pStyle w:val="Titre1"/>
        <w:numPr>
          <w:ilvl w:val="0"/>
          <w:numId w:val="0"/>
        </w:numPr>
        <w:rPr>
          <w:rFonts w:asciiTheme="majorBidi" w:hAnsiTheme="majorBidi"/>
          <w:color w:val="538135" w:themeColor="accent6" w:themeShade="BF"/>
        </w:rPr>
      </w:pPr>
      <w:r w:rsidRPr="00F551D8">
        <w:rPr>
          <w:noProof/>
        </w:rPr>
        <w:drawing>
          <wp:anchor distT="0" distB="0" distL="114300" distR="114300" simplePos="0" relativeHeight="251659264" behindDoc="1" locked="0" layoutInCell="1" allowOverlap="1" wp14:anchorId="130E21EA" wp14:editId="348DE6F3">
            <wp:simplePos x="0" y="0"/>
            <wp:positionH relativeFrom="column">
              <wp:posOffset>4405630</wp:posOffset>
            </wp:positionH>
            <wp:positionV relativeFrom="paragraph">
              <wp:posOffset>10795</wp:posOffset>
            </wp:positionV>
            <wp:extent cx="1190625" cy="1162050"/>
            <wp:effectExtent l="0" t="0" r="9525" b="0"/>
            <wp:wrapNone/>
            <wp:docPr id="3" name="Image 3" descr="C:\Users\admin\Desktop\Communication\Logo_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admin\Desktop\Communication\Logo_Ri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62050"/>
                    </a:xfrm>
                    <a:prstGeom prst="rect">
                      <a:avLst/>
                    </a:prstGeom>
                    <a:noFill/>
                    <a:ln>
                      <a:noFill/>
                    </a:ln>
                  </pic:spPr>
                </pic:pic>
              </a:graphicData>
            </a:graphic>
          </wp:anchor>
        </w:drawing>
      </w:r>
    </w:p>
    <w:p w14:paraId="2FCB3B1F" w14:textId="2FEEE565" w:rsidR="0028333C" w:rsidRDefault="0028333C" w:rsidP="0028333C">
      <w:pPr>
        <w:pStyle w:val="Titre1"/>
        <w:numPr>
          <w:ilvl w:val="0"/>
          <w:numId w:val="0"/>
        </w:numPr>
        <w:rPr>
          <w:rFonts w:asciiTheme="majorBidi" w:hAnsiTheme="majorBidi"/>
          <w:color w:val="538135" w:themeColor="accent6" w:themeShade="BF"/>
        </w:rPr>
      </w:pPr>
    </w:p>
    <w:p w14:paraId="1B473C95" w14:textId="65542BD1" w:rsidR="0028333C" w:rsidRDefault="0028333C" w:rsidP="0028333C">
      <w:pPr>
        <w:pStyle w:val="Titre1"/>
        <w:numPr>
          <w:ilvl w:val="0"/>
          <w:numId w:val="0"/>
        </w:numPr>
        <w:rPr>
          <w:rFonts w:asciiTheme="majorBidi" w:hAnsiTheme="majorBidi"/>
          <w:color w:val="538135" w:themeColor="accent6" w:themeShade="BF"/>
        </w:rPr>
      </w:pPr>
    </w:p>
    <w:p w14:paraId="728037B1" w14:textId="0278950D" w:rsidR="0028333C" w:rsidRDefault="0028333C" w:rsidP="00850BCA">
      <w:pPr>
        <w:pStyle w:val="Titre1"/>
        <w:numPr>
          <w:ilvl w:val="0"/>
          <w:numId w:val="0"/>
        </w:numPr>
        <w:jc w:val="center"/>
        <w:rPr>
          <w:rFonts w:asciiTheme="majorBidi" w:hAnsiTheme="majorBidi"/>
          <w:color w:val="538135" w:themeColor="accent6" w:themeShade="BF"/>
        </w:rPr>
      </w:pPr>
    </w:p>
    <w:p w14:paraId="6AC09069" w14:textId="33740B44" w:rsidR="0028333C" w:rsidRDefault="0028333C" w:rsidP="0028333C">
      <w:pPr>
        <w:pStyle w:val="Titre1"/>
        <w:numPr>
          <w:ilvl w:val="0"/>
          <w:numId w:val="0"/>
        </w:numPr>
        <w:rPr>
          <w:rFonts w:asciiTheme="majorBidi" w:hAnsiTheme="majorBidi"/>
          <w:color w:val="538135" w:themeColor="accent6" w:themeShade="BF"/>
        </w:rPr>
      </w:pPr>
      <w:r>
        <w:rPr>
          <w:noProof/>
        </w:rPr>
        <w:drawing>
          <wp:anchor distT="0" distB="0" distL="114300" distR="114300" simplePos="0" relativeHeight="251660288" behindDoc="1" locked="0" layoutInCell="1" allowOverlap="1" wp14:anchorId="1431C8E4" wp14:editId="05E103DA">
            <wp:simplePos x="0" y="0"/>
            <wp:positionH relativeFrom="page">
              <wp:align>left</wp:align>
            </wp:positionH>
            <wp:positionV relativeFrom="paragraph">
              <wp:posOffset>142875</wp:posOffset>
            </wp:positionV>
            <wp:extent cx="1714500" cy="901065"/>
            <wp:effectExtent l="0" t="0" r="0" b="0"/>
            <wp:wrapTight wrapText="bothSides">
              <wp:wrapPolygon edited="0">
                <wp:start x="0" y="0"/>
                <wp:lineTo x="0" y="21006"/>
                <wp:lineTo x="21360" y="21006"/>
                <wp:lineTo x="2136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901065"/>
                    </a:xfrm>
                    <a:prstGeom prst="rect">
                      <a:avLst/>
                    </a:prstGeom>
                    <a:noFill/>
                    <a:ln>
                      <a:noFill/>
                    </a:ln>
                  </pic:spPr>
                </pic:pic>
              </a:graphicData>
            </a:graphic>
          </wp:anchor>
        </w:drawing>
      </w:r>
    </w:p>
    <w:p w14:paraId="1FB7D4C3" w14:textId="6BCEB2BC" w:rsidR="0028333C" w:rsidRDefault="0028333C" w:rsidP="0028333C">
      <w:pPr>
        <w:pStyle w:val="Titre1"/>
        <w:numPr>
          <w:ilvl w:val="0"/>
          <w:numId w:val="0"/>
        </w:numPr>
        <w:rPr>
          <w:rFonts w:asciiTheme="majorBidi" w:hAnsiTheme="majorBidi"/>
          <w:color w:val="538135" w:themeColor="accent6" w:themeShade="BF"/>
        </w:rPr>
      </w:pPr>
    </w:p>
    <w:p w14:paraId="0003C4C5" w14:textId="3EB21B68" w:rsidR="0028333C" w:rsidRDefault="0028333C" w:rsidP="0028333C">
      <w:pPr>
        <w:pStyle w:val="Titre1"/>
        <w:numPr>
          <w:ilvl w:val="0"/>
          <w:numId w:val="0"/>
        </w:numPr>
        <w:rPr>
          <w:rFonts w:asciiTheme="majorBidi" w:hAnsiTheme="majorBidi"/>
          <w:color w:val="538135" w:themeColor="accent6" w:themeShade="BF"/>
        </w:rPr>
      </w:pPr>
    </w:p>
    <w:p w14:paraId="454787E0" w14:textId="0BD65FE7" w:rsidR="0028333C" w:rsidRDefault="0028333C" w:rsidP="0028333C">
      <w:pPr>
        <w:pStyle w:val="Titre1"/>
        <w:numPr>
          <w:ilvl w:val="0"/>
          <w:numId w:val="0"/>
        </w:numPr>
        <w:rPr>
          <w:rFonts w:asciiTheme="majorBidi" w:hAnsiTheme="majorBidi"/>
          <w:color w:val="538135" w:themeColor="accent6" w:themeShade="BF"/>
        </w:rPr>
      </w:pPr>
    </w:p>
    <w:p w14:paraId="4BE89AB4" w14:textId="2BA6D560" w:rsidR="0028333C" w:rsidRDefault="0028333C" w:rsidP="0028333C">
      <w:pPr>
        <w:pStyle w:val="Titre1"/>
        <w:numPr>
          <w:ilvl w:val="0"/>
          <w:numId w:val="0"/>
        </w:numPr>
        <w:rPr>
          <w:rFonts w:asciiTheme="majorBidi" w:hAnsiTheme="majorBidi"/>
          <w:color w:val="538135" w:themeColor="accent6" w:themeShade="BF"/>
        </w:rPr>
      </w:pPr>
    </w:p>
    <w:p w14:paraId="1DF55A4B" w14:textId="77777777" w:rsidR="0028333C" w:rsidRDefault="0028333C" w:rsidP="0028333C">
      <w:pPr>
        <w:pStyle w:val="Titre1"/>
        <w:numPr>
          <w:ilvl w:val="0"/>
          <w:numId w:val="0"/>
        </w:numPr>
        <w:rPr>
          <w:rFonts w:asciiTheme="majorBidi" w:hAnsiTheme="majorBidi"/>
          <w:color w:val="538135" w:themeColor="accent6" w:themeShade="BF"/>
        </w:rPr>
      </w:pPr>
    </w:p>
    <w:p w14:paraId="52CC3FA2" w14:textId="77777777" w:rsidR="0028333C" w:rsidRDefault="0028333C" w:rsidP="0028333C">
      <w:pPr>
        <w:pStyle w:val="Titre1"/>
        <w:numPr>
          <w:ilvl w:val="0"/>
          <w:numId w:val="0"/>
        </w:numPr>
        <w:rPr>
          <w:rFonts w:asciiTheme="majorBidi" w:hAnsiTheme="majorBidi"/>
          <w:color w:val="538135" w:themeColor="accent6" w:themeShade="BF"/>
        </w:rPr>
      </w:pPr>
    </w:p>
    <w:p w14:paraId="15C70E7A" w14:textId="6895B84D" w:rsidR="00306046" w:rsidRPr="0028333C" w:rsidRDefault="00306046" w:rsidP="0028333C">
      <w:pPr>
        <w:pStyle w:val="Titre1"/>
        <w:numPr>
          <w:ilvl w:val="0"/>
          <w:numId w:val="0"/>
        </w:numPr>
        <w:rPr>
          <w:rFonts w:asciiTheme="majorBidi" w:hAnsiTheme="majorBidi"/>
          <w:color w:val="00B050"/>
        </w:rPr>
      </w:pPr>
      <w:r w:rsidRPr="0028333C">
        <w:rPr>
          <w:rFonts w:asciiTheme="majorBidi" w:hAnsiTheme="majorBidi"/>
          <w:color w:val="538135" w:themeColor="accent6" w:themeShade="BF"/>
        </w:rPr>
        <w:t xml:space="preserve"> </w:t>
      </w:r>
      <w:r w:rsidRPr="0028333C">
        <w:rPr>
          <w:rFonts w:asciiTheme="majorBidi" w:hAnsiTheme="majorBidi"/>
          <w:color w:val="00B050"/>
        </w:rPr>
        <w:t>Projet</w:t>
      </w:r>
      <w:bookmarkEnd w:id="0"/>
      <w:r w:rsidR="0028333C" w:rsidRPr="0028333C">
        <w:rPr>
          <w:rFonts w:asciiTheme="majorBidi" w:hAnsiTheme="majorBidi"/>
          <w:color w:val="00B050"/>
        </w:rPr>
        <w:t xml:space="preserve"> MOUDOUN</w:t>
      </w:r>
    </w:p>
    <w:p w14:paraId="42C87B6F" w14:textId="20343009" w:rsidR="0028333C" w:rsidRDefault="0028333C" w:rsidP="0028333C"/>
    <w:p w14:paraId="2A9A456F" w14:textId="0990B150" w:rsidR="0028333C" w:rsidRDefault="0028333C" w:rsidP="0028333C">
      <w:pPr>
        <w:rPr>
          <w:rFonts w:eastAsiaTheme="minorEastAsia" w:cs="Times New Roman"/>
          <w:szCs w:val="24"/>
          <w:lang w:eastAsia="ja-JP"/>
        </w:rPr>
      </w:pPr>
      <w:r w:rsidRPr="00306046">
        <w:rPr>
          <w:rFonts w:eastAsiaTheme="minorEastAsia" w:cs="Times New Roman"/>
          <w:szCs w:val="24"/>
          <w:lang w:eastAsia="ja-JP"/>
        </w:rPr>
        <w:t xml:space="preserve">Le Projet </w:t>
      </w:r>
      <w:proofErr w:type="spellStart"/>
      <w:r w:rsidRPr="00306046">
        <w:rPr>
          <w:rFonts w:eastAsiaTheme="minorEastAsia" w:cs="Times New Roman"/>
          <w:szCs w:val="24"/>
          <w:lang w:eastAsia="ja-JP"/>
        </w:rPr>
        <w:t>Moudoun</w:t>
      </w:r>
      <w:proofErr w:type="spellEnd"/>
      <w:r w:rsidRPr="00306046">
        <w:rPr>
          <w:rFonts w:eastAsiaTheme="minorEastAsia" w:cs="Times New Roman"/>
          <w:szCs w:val="24"/>
          <w:lang w:eastAsia="ja-JP"/>
        </w:rPr>
        <w:t xml:space="preserve"> d’Appui à la Décentralisation et au Développement des Villes Intermédiaires (Projet </w:t>
      </w:r>
      <w:proofErr w:type="spellStart"/>
      <w:r w:rsidRPr="00306046">
        <w:rPr>
          <w:rFonts w:eastAsiaTheme="minorEastAsia" w:cs="Times New Roman"/>
          <w:szCs w:val="24"/>
          <w:lang w:eastAsia="ja-JP"/>
        </w:rPr>
        <w:t>Moudoun</w:t>
      </w:r>
      <w:proofErr w:type="spellEnd"/>
      <w:r w:rsidRPr="00306046">
        <w:rPr>
          <w:rFonts w:eastAsiaTheme="minorEastAsia" w:cs="Times New Roman"/>
          <w:szCs w:val="24"/>
          <w:lang w:eastAsia="ja-JP"/>
        </w:rPr>
        <w:t xml:space="preserve">) financé par la Banque mondiale a pour objectif global de contribuer à l’amélioration des conditions de vie des populations des villes intermédiaires ciblées. Les principaux objectifs spécifiques sont : (a) améliorer la productivité des villes intermédiaires et (b) renforcer les institutions locales afin que ces villes jouent pleinement leur rôle dans le développement économique des territoires de la Mauritanie. Ces objectifs seraient réalisés à travers le financement d’infrastructures, l’amélioration de l’accès aux services urbains, l’amélioration des finances locales et le renforcement de capacités pour faciliter la transformation de ces villes en véritables outils du développement local. Un certain nombre de regroupements volontaires bénéficieront d’un appui à travers le projet.  </w:t>
      </w:r>
    </w:p>
    <w:p w14:paraId="0EEEF24D" w14:textId="77777777" w:rsidR="0028333C" w:rsidRPr="00306046" w:rsidRDefault="0028333C" w:rsidP="0028333C">
      <w:pPr>
        <w:rPr>
          <w:rFonts w:eastAsiaTheme="minorEastAsia" w:cs="Times New Roman"/>
          <w:szCs w:val="24"/>
          <w:lang w:eastAsia="ja-JP"/>
        </w:rPr>
      </w:pPr>
    </w:p>
    <w:p w14:paraId="187C60A4" w14:textId="77777777" w:rsidR="0028333C" w:rsidRPr="00306046" w:rsidRDefault="0028333C" w:rsidP="0028333C">
      <w:pPr>
        <w:autoSpaceDE w:val="0"/>
        <w:autoSpaceDN w:val="0"/>
        <w:adjustRightInd w:val="0"/>
        <w:rPr>
          <w:rFonts w:eastAsiaTheme="minorEastAsia" w:cs="Times New Roman"/>
          <w:szCs w:val="24"/>
          <w:lang w:eastAsia="fr-FR"/>
        </w:rPr>
      </w:pPr>
      <w:r w:rsidRPr="00306046">
        <w:rPr>
          <w:rFonts w:eastAsiaTheme="minorEastAsia" w:cs="Times New Roman"/>
          <w:szCs w:val="24"/>
          <w:lang w:eastAsia="fr-FR"/>
        </w:rPr>
        <w:t xml:space="preserve">Ainsi, au regard de la nature, des caractéristiques et de l’envergure des travaux envisagés, le risque environnemental et social lié à la mise en œuvre des activités du </w:t>
      </w:r>
      <w:r w:rsidRPr="00306046">
        <w:rPr>
          <w:rFonts w:eastAsiaTheme="minorEastAsia" w:cs="Times New Roman"/>
          <w:bCs/>
          <w:szCs w:val="24"/>
          <w:lang w:eastAsia="ja-JP"/>
        </w:rPr>
        <w:t xml:space="preserve">Projet </w:t>
      </w:r>
      <w:proofErr w:type="spellStart"/>
      <w:r w:rsidRPr="00306046">
        <w:rPr>
          <w:rFonts w:eastAsiaTheme="minorEastAsia" w:cs="Times New Roman"/>
          <w:bCs/>
          <w:szCs w:val="24"/>
          <w:lang w:eastAsia="ja-JP"/>
        </w:rPr>
        <w:t>Moudoun</w:t>
      </w:r>
      <w:proofErr w:type="spellEnd"/>
      <w:r w:rsidRPr="00306046">
        <w:rPr>
          <w:rFonts w:eastAsiaTheme="minorEastAsia" w:cs="Times New Roman"/>
          <w:szCs w:val="24"/>
          <w:lang w:eastAsia="fr-FR"/>
        </w:rPr>
        <w:t xml:space="preserve"> est jugé modéré. Parmi les dix normes environnementales et sociales de la Banque mondiale huit (8) dont la NES 10 sont applicables au projet. Le </w:t>
      </w:r>
      <w:r w:rsidRPr="00306046">
        <w:rPr>
          <w:rFonts w:eastAsiaTheme="minorEastAsia" w:cs="Times New Roman"/>
          <w:szCs w:val="24"/>
          <w:lang w:eastAsia="ja-JP" w:bidi="fr-FR"/>
        </w:rPr>
        <w:t xml:space="preserve">présent Plan de Mobilisation des Parties Prenantes est alors élaboré pour se </w:t>
      </w:r>
      <w:r w:rsidRPr="00306046">
        <w:rPr>
          <w:rFonts w:eastAsiaTheme="minorEastAsia" w:cs="Times New Roman"/>
          <w:szCs w:val="24"/>
          <w:lang w:eastAsia="fr-FR"/>
        </w:rPr>
        <w:t>conformer aux dispositions de la législation environnementale nationale et aux normes environnementales et sociales de la Banque mondiale.</w:t>
      </w:r>
    </w:p>
    <w:p w14:paraId="7694403A" w14:textId="77777777" w:rsidR="0028333C" w:rsidRPr="00306046" w:rsidRDefault="0028333C" w:rsidP="0028333C">
      <w:pPr>
        <w:rPr>
          <w:rFonts w:eastAsiaTheme="minorEastAsia" w:cs="Times New Roman"/>
          <w:szCs w:val="24"/>
          <w:lang w:eastAsia="ja-JP"/>
        </w:rPr>
      </w:pPr>
    </w:p>
    <w:p w14:paraId="3070EA4E" w14:textId="3FACE13D" w:rsidR="0028333C" w:rsidRPr="0028333C" w:rsidRDefault="0028333C" w:rsidP="0028333C">
      <w:pPr>
        <w:rPr>
          <w:rFonts w:eastAsiaTheme="minorEastAsia" w:cs="Times New Roman"/>
          <w:b/>
          <w:bCs/>
          <w:color w:val="00B050"/>
          <w:szCs w:val="24"/>
          <w:lang w:eastAsia="ja-JP"/>
        </w:rPr>
      </w:pPr>
      <w:r w:rsidRPr="0028333C">
        <w:rPr>
          <w:rFonts w:eastAsiaTheme="minorEastAsia" w:cs="Times New Roman"/>
          <w:b/>
          <w:bCs/>
          <w:color w:val="00B050"/>
          <w:szCs w:val="24"/>
          <w:lang w:eastAsia="ja-JP"/>
        </w:rPr>
        <w:t>Cadre juridique de la mobilisation des parties prenantes</w:t>
      </w:r>
    </w:p>
    <w:p w14:paraId="3F5C74A0" w14:textId="77777777" w:rsidR="0028333C" w:rsidRPr="00306046" w:rsidRDefault="0028333C" w:rsidP="0028333C">
      <w:pPr>
        <w:rPr>
          <w:rFonts w:eastAsiaTheme="minorEastAsia" w:cs="Times New Roman"/>
          <w:b/>
          <w:bCs/>
          <w:i/>
          <w:iCs/>
          <w:szCs w:val="24"/>
          <w:lang w:eastAsia="ja-JP"/>
        </w:rPr>
      </w:pPr>
    </w:p>
    <w:p w14:paraId="76D98847" w14:textId="77777777" w:rsidR="0028333C" w:rsidRPr="00306046" w:rsidRDefault="0028333C" w:rsidP="0028333C">
      <w:pPr>
        <w:autoSpaceDE w:val="0"/>
        <w:autoSpaceDN w:val="0"/>
        <w:adjustRightInd w:val="0"/>
        <w:rPr>
          <w:rFonts w:eastAsiaTheme="minorEastAsia" w:cs="Times New Roman"/>
          <w:szCs w:val="24"/>
          <w:lang w:eastAsia="ja-JP"/>
        </w:rPr>
      </w:pPr>
      <w:r w:rsidRPr="00306046">
        <w:rPr>
          <w:rFonts w:eastAsiaTheme="minorEastAsia" w:cs="Times New Roman"/>
          <w:szCs w:val="24"/>
          <w:lang w:eastAsia="ja-JP"/>
        </w:rPr>
        <w:t>La Norme Environnementale et Sociale (NES) de la Banque qui fait appelle à la mobilisation des parties prenantes et information est la NES 10.</w:t>
      </w:r>
      <w:r w:rsidRPr="00306046">
        <w:rPr>
          <w:rFonts w:eastAsiaTheme="minorEastAsia" w:cs="Times New Roman"/>
          <w:szCs w:val="24"/>
          <w:lang w:eastAsia="fr-FR"/>
        </w:rPr>
        <w:t xml:space="preserve"> </w:t>
      </w:r>
      <w:r w:rsidRPr="00306046">
        <w:rPr>
          <w:rFonts w:eastAsiaTheme="minorEastAsia" w:cs="Times New Roman"/>
          <w:spacing w:val="5"/>
          <w:szCs w:val="24"/>
          <w:lang w:eastAsia="ja-JP"/>
        </w:rPr>
        <w:t xml:space="preserve">Ainsi </w:t>
      </w:r>
      <w:r w:rsidRPr="00306046">
        <w:rPr>
          <w:rFonts w:eastAsiaTheme="minorEastAsia" w:cs="Times New Roman"/>
          <w:szCs w:val="24"/>
          <w:lang w:eastAsia="ja-JP"/>
        </w:rPr>
        <w:t xml:space="preserve">La NES n°10 </w:t>
      </w:r>
      <w:proofErr w:type="gramStart"/>
      <w:r w:rsidRPr="00306046">
        <w:rPr>
          <w:rFonts w:eastAsiaTheme="minorEastAsia" w:cs="Times New Roman"/>
          <w:szCs w:val="24"/>
          <w:lang w:eastAsia="ja-JP"/>
        </w:rPr>
        <w:t>stipule</w:t>
      </w:r>
      <w:proofErr w:type="gramEnd"/>
      <w:r w:rsidRPr="00306046">
        <w:rPr>
          <w:rFonts w:eastAsiaTheme="minorEastAsia" w:cs="Times New Roman"/>
          <w:szCs w:val="24"/>
          <w:lang w:eastAsia="ja-JP"/>
        </w:rPr>
        <w:t xml:space="preserve"> que les Emprunteurs consulteront les parties prenantes tout au long du cycle de vie du projet, en commençant leur mobilisation le plus tôt possible pendant le processus d’élaboration du projet et dans des délais qui permettent des consultations significatives avec les parties prenantes sur la conception du projet. Elle exige à. L’Emprunteur élaborer et de mettre en œuvre un Plan de Participation des Parties Prenantes (P3P) proportionnel à la nature et à la portée du projet et aux risques et impacts potentiels.</w:t>
      </w:r>
    </w:p>
    <w:p w14:paraId="124DF2BF" w14:textId="77777777" w:rsidR="0028333C" w:rsidRPr="00306046" w:rsidRDefault="0028333C" w:rsidP="0028333C">
      <w:pPr>
        <w:pBdr>
          <w:top w:val="nil"/>
          <w:left w:val="nil"/>
          <w:bottom w:val="nil"/>
          <w:right w:val="nil"/>
          <w:between w:val="nil"/>
        </w:pBdr>
        <w:tabs>
          <w:tab w:val="center" w:pos="4320"/>
          <w:tab w:val="right" w:pos="8640"/>
        </w:tabs>
        <w:rPr>
          <w:rFonts w:eastAsiaTheme="minorEastAsia" w:cs="Times New Roman"/>
          <w:szCs w:val="24"/>
          <w:lang w:eastAsia="ja-JP"/>
        </w:rPr>
      </w:pPr>
      <w:r w:rsidRPr="00306046">
        <w:rPr>
          <w:rFonts w:eastAsiaTheme="minorEastAsia" w:cs="Times New Roman"/>
          <w:szCs w:val="24"/>
          <w:lang w:eastAsia="ja-JP"/>
        </w:rPr>
        <w:t>Au plan national, la Loi n°200-045 du 26 juillet 2000 portant Code Cadre de l’Environnement en article 57 et le Décret n°2007-105 modifiant et complétant certaines dispositions du décret 2004-094 du 04 novembre 204 relatif à l’Etude d’Impact Environnemental et Social (EIES) son Article 17 exigent la consultation des autorités et des autres acteurs sans préciser l’élaboration d’un Plan de Mobilisation des Parties prenantes. C’est pourquoi dans le cadre du Projet MOUDOUN le présent plan est élaboré.</w:t>
      </w:r>
    </w:p>
    <w:p w14:paraId="5366530A" w14:textId="77777777" w:rsidR="0028333C" w:rsidRPr="00306046" w:rsidRDefault="0028333C" w:rsidP="0028333C">
      <w:pPr>
        <w:pBdr>
          <w:top w:val="nil"/>
          <w:left w:val="nil"/>
          <w:bottom w:val="nil"/>
          <w:right w:val="nil"/>
          <w:between w:val="nil"/>
        </w:pBdr>
        <w:tabs>
          <w:tab w:val="center" w:pos="4320"/>
          <w:tab w:val="right" w:pos="8640"/>
        </w:tabs>
        <w:rPr>
          <w:rFonts w:eastAsiaTheme="minorEastAsia" w:cs="Times New Roman"/>
          <w:szCs w:val="24"/>
          <w:lang w:eastAsia="ja-JP"/>
        </w:rPr>
      </w:pPr>
    </w:p>
    <w:p w14:paraId="178C95AE" w14:textId="77777777" w:rsidR="0028333C" w:rsidRDefault="0028333C" w:rsidP="0028333C"/>
    <w:p w14:paraId="0756EF09" w14:textId="77777777" w:rsidR="0028333C" w:rsidRDefault="0028333C" w:rsidP="0028333C"/>
    <w:p w14:paraId="2D1CCFF0" w14:textId="77777777" w:rsidR="0028333C" w:rsidRDefault="0028333C" w:rsidP="0028333C"/>
    <w:p w14:paraId="7584A150" w14:textId="77777777" w:rsidR="0028333C" w:rsidRPr="0028333C" w:rsidRDefault="0028333C" w:rsidP="0028333C"/>
    <w:p w14:paraId="10831F96" w14:textId="77777777" w:rsidR="00306046" w:rsidRPr="00815508" w:rsidRDefault="00306046" w:rsidP="00306046">
      <w:pPr>
        <w:rPr>
          <w:rFonts w:asciiTheme="majorBidi" w:hAnsiTheme="majorBidi" w:cstheme="majorBidi"/>
        </w:rPr>
      </w:pPr>
    </w:p>
    <w:p w14:paraId="115F78FD" w14:textId="77777777" w:rsidR="00306046" w:rsidRPr="00815508" w:rsidRDefault="00306046" w:rsidP="00306046">
      <w:pPr>
        <w:pStyle w:val="Titre2"/>
        <w:rPr>
          <w:rFonts w:asciiTheme="majorBidi" w:hAnsiTheme="majorBidi"/>
        </w:rPr>
      </w:pPr>
      <w:bookmarkStart w:id="1" w:name="_Toc45959792"/>
      <w:r w:rsidRPr="00815508">
        <w:rPr>
          <w:rFonts w:asciiTheme="majorBidi" w:hAnsiTheme="majorBidi"/>
        </w:rPr>
        <w:t>Objectifs de développement du projet</w:t>
      </w:r>
      <w:bookmarkEnd w:id="1"/>
      <w:r w:rsidRPr="00815508">
        <w:rPr>
          <w:rFonts w:asciiTheme="majorBidi" w:hAnsiTheme="majorBidi"/>
        </w:rPr>
        <w:t xml:space="preserve"> </w:t>
      </w:r>
    </w:p>
    <w:p w14:paraId="16B13DEE" w14:textId="77777777" w:rsidR="00306046" w:rsidRPr="00815508" w:rsidRDefault="00306046" w:rsidP="00306046">
      <w:pPr>
        <w:rPr>
          <w:rFonts w:asciiTheme="majorBidi" w:hAnsiTheme="majorBidi" w:cstheme="majorBidi"/>
        </w:rPr>
      </w:pPr>
    </w:p>
    <w:p w14:paraId="28A199E5" w14:textId="77777777" w:rsidR="00306046" w:rsidRPr="00815508" w:rsidRDefault="00306046" w:rsidP="00306046">
      <w:pPr>
        <w:rPr>
          <w:rFonts w:asciiTheme="majorBidi" w:hAnsiTheme="majorBidi" w:cstheme="majorBidi"/>
        </w:rPr>
      </w:pPr>
      <w:r w:rsidRPr="00815508">
        <w:rPr>
          <w:rFonts w:asciiTheme="majorBidi" w:hAnsiTheme="majorBidi" w:cstheme="majorBidi"/>
        </w:rPr>
        <w:t>L’objectif de développement du Programme (ODP) est :</w:t>
      </w:r>
    </w:p>
    <w:p w14:paraId="5A99B623" w14:textId="77777777" w:rsidR="00306046" w:rsidRPr="00815508" w:rsidRDefault="00306046" w:rsidP="00306046">
      <w:pPr>
        <w:pStyle w:val="Paragraphedeliste"/>
        <w:numPr>
          <w:ilvl w:val="0"/>
          <w:numId w:val="4"/>
        </w:numPr>
        <w:rPr>
          <w:rFonts w:asciiTheme="majorBidi" w:hAnsiTheme="majorBidi" w:cstheme="majorBidi"/>
        </w:rPr>
      </w:pPr>
      <w:proofErr w:type="gramStart"/>
      <w:r w:rsidRPr="00815508">
        <w:rPr>
          <w:rFonts w:asciiTheme="majorBidi" w:hAnsiTheme="majorBidi" w:cstheme="majorBidi"/>
        </w:rPr>
        <w:t>d’améliorer</w:t>
      </w:r>
      <w:proofErr w:type="gramEnd"/>
      <w:r w:rsidRPr="00815508">
        <w:rPr>
          <w:rFonts w:asciiTheme="majorBidi" w:hAnsiTheme="majorBidi" w:cstheme="majorBidi"/>
        </w:rPr>
        <w:t xml:space="preserve"> l’accès aux services locaux dans les localités sélectionnées ; et (ii) </w:t>
      </w:r>
    </w:p>
    <w:p w14:paraId="55ED55A6" w14:textId="77777777" w:rsidR="00306046" w:rsidRPr="00815508" w:rsidRDefault="00306046" w:rsidP="00306046">
      <w:pPr>
        <w:pStyle w:val="Paragraphedeliste"/>
        <w:numPr>
          <w:ilvl w:val="0"/>
          <w:numId w:val="4"/>
        </w:numPr>
        <w:rPr>
          <w:rFonts w:asciiTheme="majorBidi" w:hAnsiTheme="majorBidi" w:cstheme="majorBidi"/>
        </w:rPr>
      </w:pPr>
      <w:proofErr w:type="gramStart"/>
      <w:r w:rsidRPr="00815508">
        <w:rPr>
          <w:rFonts w:asciiTheme="majorBidi" w:hAnsiTheme="majorBidi" w:cstheme="majorBidi"/>
        </w:rPr>
        <w:t>de</w:t>
      </w:r>
      <w:proofErr w:type="gramEnd"/>
      <w:r w:rsidRPr="00815508">
        <w:rPr>
          <w:rFonts w:asciiTheme="majorBidi" w:hAnsiTheme="majorBidi" w:cstheme="majorBidi"/>
        </w:rPr>
        <w:t xml:space="preserve"> renforcer les capacités des collectivités locales en matière de planification et de gestion des services publics.</w:t>
      </w:r>
    </w:p>
    <w:p w14:paraId="0CFBA197" w14:textId="77777777" w:rsidR="00306046" w:rsidRPr="00815508" w:rsidRDefault="00306046" w:rsidP="00306046">
      <w:pPr>
        <w:rPr>
          <w:rFonts w:asciiTheme="majorBidi" w:hAnsiTheme="majorBidi" w:cstheme="majorBidi"/>
        </w:rPr>
      </w:pPr>
    </w:p>
    <w:p w14:paraId="2C72E0FE" w14:textId="77777777" w:rsidR="00306046" w:rsidRPr="00815508" w:rsidRDefault="00306046" w:rsidP="00306046">
      <w:pPr>
        <w:rPr>
          <w:rFonts w:asciiTheme="majorBidi" w:hAnsiTheme="majorBidi" w:cstheme="majorBidi"/>
        </w:rPr>
      </w:pPr>
      <w:r w:rsidRPr="00815508">
        <w:rPr>
          <w:rFonts w:asciiTheme="majorBidi" w:hAnsiTheme="majorBidi" w:cstheme="majorBidi"/>
        </w:rPr>
        <w:t xml:space="preserve">Ces objectifs seront atteints à travers le financement d’infrastructures, l’amélioration de l’accès aux services urbains, l’amélioration des finances locales et le renforcement de capacités dans les villes intermédiaires visées </w:t>
      </w:r>
      <w:r w:rsidRPr="00815508">
        <w:rPr>
          <w:rFonts w:asciiTheme="majorBidi" w:hAnsiTheme="majorBidi" w:cstheme="majorBidi"/>
          <w:bCs/>
        </w:rPr>
        <w:t>pour faciliter leur transformation en véritables outils du</w:t>
      </w:r>
      <w:r w:rsidRPr="00815508">
        <w:rPr>
          <w:rFonts w:asciiTheme="majorBidi" w:hAnsiTheme="majorBidi" w:cstheme="majorBidi"/>
        </w:rPr>
        <w:t xml:space="preserve"> développement local.</w:t>
      </w:r>
    </w:p>
    <w:p w14:paraId="4E2E4085" w14:textId="77777777" w:rsidR="00306046" w:rsidRPr="00815508" w:rsidRDefault="00306046" w:rsidP="00306046">
      <w:pPr>
        <w:rPr>
          <w:rFonts w:asciiTheme="majorBidi" w:hAnsiTheme="majorBidi" w:cstheme="majorBidi"/>
        </w:rPr>
      </w:pPr>
    </w:p>
    <w:p w14:paraId="5F6E1CC2" w14:textId="77777777" w:rsidR="00306046" w:rsidRPr="0028333C" w:rsidRDefault="00306046" w:rsidP="0028333C">
      <w:pPr>
        <w:pStyle w:val="Titre2"/>
        <w:numPr>
          <w:ilvl w:val="0"/>
          <w:numId w:val="0"/>
        </w:numPr>
        <w:ind w:left="720" w:hanging="360"/>
        <w:rPr>
          <w:rFonts w:asciiTheme="majorBidi" w:hAnsiTheme="majorBidi"/>
          <w:color w:val="00B050"/>
        </w:rPr>
      </w:pPr>
      <w:bookmarkStart w:id="2" w:name="_Toc45959793"/>
      <w:r w:rsidRPr="0028333C">
        <w:rPr>
          <w:rFonts w:asciiTheme="majorBidi" w:hAnsiTheme="majorBidi"/>
          <w:color w:val="00B050"/>
        </w:rPr>
        <w:t>Bénéficiaires du Projet</w:t>
      </w:r>
      <w:bookmarkEnd w:id="2"/>
    </w:p>
    <w:p w14:paraId="1E5234A4" w14:textId="77777777" w:rsidR="00306046" w:rsidRPr="00815508" w:rsidRDefault="00306046" w:rsidP="00306046">
      <w:pPr>
        <w:rPr>
          <w:rFonts w:asciiTheme="majorBidi" w:hAnsiTheme="majorBidi" w:cstheme="majorBidi"/>
        </w:rPr>
      </w:pPr>
    </w:p>
    <w:p w14:paraId="52BA3C36" w14:textId="77777777" w:rsidR="00306046" w:rsidRPr="00815508" w:rsidRDefault="00306046" w:rsidP="00306046">
      <w:pPr>
        <w:rPr>
          <w:rFonts w:asciiTheme="majorBidi" w:hAnsiTheme="majorBidi" w:cstheme="majorBidi"/>
        </w:rPr>
      </w:pPr>
      <w:r w:rsidRPr="00815508">
        <w:rPr>
          <w:rFonts w:asciiTheme="majorBidi" w:hAnsiTheme="majorBidi" w:cstheme="majorBidi"/>
        </w:rPr>
        <w:t>Les critères fixés par le Gouvernement mauritanien et la Banque Mondiale</w:t>
      </w:r>
      <w:r>
        <w:rPr>
          <w:rFonts w:asciiTheme="majorBidi" w:hAnsiTheme="majorBidi" w:cstheme="majorBidi"/>
        </w:rPr>
        <w:t xml:space="preserve">, à savoir </w:t>
      </w:r>
      <w:r w:rsidRPr="00166324">
        <w:rPr>
          <w:rFonts w:asciiTheme="majorBidi" w:hAnsiTheme="majorBidi" w:cstheme="majorBidi"/>
        </w:rPr>
        <w:t xml:space="preserve">(i) le potentiel de développement économique, (ii) les zones d’influence et (iii) les villes hôtes des </w:t>
      </w:r>
      <w:proofErr w:type="spellStart"/>
      <w:r w:rsidRPr="00166324">
        <w:rPr>
          <w:rFonts w:asciiTheme="majorBidi" w:hAnsiTheme="majorBidi" w:cstheme="majorBidi"/>
        </w:rPr>
        <w:t>refugiés</w:t>
      </w:r>
      <w:proofErr w:type="spellEnd"/>
      <w:r>
        <w:rPr>
          <w:rFonts w:asciiTheme="majorBidi" w:hAnsiTheme="majorBidi" w:cstheme="majorBidi"/>
        </w:rPr>
        <w:t>,</w:t>
      </w:r>
      <w:r w:rsidRPr="00815508">
        <w:rPr>
          <w:rFonts w:asciiTheme="majorBidi" w:hAnsiTheme="majorBidi" w:cstheme="majorBidi"/>
        </w:rPr>
        <w:t xml:space="preserve"> ont permis de retenir sept (7) </w:t>
      </w:r>
      <w:r>
        <w:rPr>
          <w:rFonts w:asciiTheme="majorBidi" w:hAnsiTheme="majorBidi" w:cstheme="majorBidi"/>
        </w:rPr>
        <w:t>Villes</w:t>
      </w:r>
      <w:r w:rsidRPr="00815508">
        <w:rPr>
          <w:rFonts w:asciiTheme="majorBidi" w:hAnsiTheme="majorBidi" w:cstheme="majorBidi"/>
        </w:rPr>
        <w:t xml:space="preserve"> afin d’accroître leur compétitivité économique dont cinq (5) communes chefs-lieux de Wilaya, deux (2) communes chefs-lieux de </w:t>
      </w:r>
      <w:proofErr w:type="spellStart"/>
      <w:r w:rsidRPr="00815508">
        <w:rPr>
          <w:rFonts w:asciiTheme="majorBidi" w:hAnsiTheme="majorBidi" w:cstheme="majorBidi"/>
        </w:rPr>
        <w:t>Moughataa</w:t>
      </w:r>
      <w:proofErr w:type="spellEnd"/>
      <w:r w:rsidRPr="00815508">
        <w:rPr>
          <w:rFonts w:asciiTheme="majorBidi" w:hAnsiTheme="majorBidi" w:cstheme="majorBidi"/>
        </w:rPr>
        <w:t xml:space="preserve"> et une (1) commune non chef-lieu de Wilaya et de </w:t>
      </w:r>
      <w:proofErr w:type="spellStart"/>
      <w:r w:rsidRPr="00815508">
        <w:rPr>
          <w:rFonts w:asciiTheme="majorBidi" w:hAnsiTheme="majorBidi" w:cstheme="majorBidi"/>
        </w:rPr>
        <w:t>Moughataa</w:t>
      </w:r>
      <w:proofErr w:type="spellEnd"/>
      <w:r w:rsidRPr="00815508">
        <w:rPr>
          <w:rFonts w:asciiTheme="majorBidi" w:hAnsiTheme="majorBidi" w:cstheme="majorBidi"/>
        </w:rPr>
        <w:t xml:space="preserve"> (Rurale) qui sont réparties dans cinq Wilayas du Pays comme suit : </w:t>
      </w:r>
    </w:p>
    <w:p w14:paraId="4DA4CC24" w14:textId="77777777" w:rsidR="00306046" w:rsidRPr="00815508" w:rsidRDefault="00306046" w:rsidP="00306046">
      <w:pPr>
        <w:rPr>
          <w:rFonts w:asciiTheme="majorBidi" w:hAnsiTheme="majorBidi" w:cstheme="majorBidi"/>
        </w:rPr>
      </w:pPr>
    </w:p>
    <w:tbl>
      <w:tblPr>
        <w:tblW w:w="9034" w:type="dxa"/>
        <w:jc w:val="center"/>
        <w:tblCellMar>
          <w:left w:w="70" w:type="dxa"/>
          <w:right w:w="70" w:type="dxa"/>
        </w:tblCellMar>
        <w:tblLook w:val="04A0" w:firstRow="1" w:lastRow="0" w:firstColumn="1" w:lastColumn="0" w:noHBand="0" w:noVBand="1"/>
      </w:tblPr>
      <w:tblGrid>
        <w:gridCol w:w="2120"/>
        <w:gridCol w:w="1439"/>
        <w:gridCol w:w="1794"/>
        <w:gridCol w:w="1439"/>
        <w:gridCol w:w="1121"/>
        <w:gridCol w:w="1121"/>
      </w:tblGrid>
      <w:tr w:rsidR="00CA3BA8" w:rsidRPr="00815508" w14:paraId="0084B6F3" w14:textId="77777777" w:rsidTr="00CA3BA8">
        <w:trPr>
          <w:trHeight w:val="307"/>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869D4" w14:textId="77777777" w:rsidR="00CA3BA8" w:rsidRPr="00815508" w:rsidRDefault="00CA3BA8" w:rsidP="001E6FD3">
            <w:pPr>
              <w:jc w:val="center"/>
              <w:rPr>
                <w:rFonts w:asciiTheme="majorBidi" w:hAnsiTheme="majorBidi" w:cstheme="majorBidi"/>
                <w:b/>
                <w:bCs/>
              </w:rPr>
            </w:pPr>
            <w:bookmarkStart w:id="3" w:name="_Hlk61956495"/>
            <w:r w:rsidRPr="00815508">
              <w:rPr>
                <w:rFonts w:asciiTheme="majorBidi" w:hAnsiTheme="majorBidi" w:cstheme="majorBidi"/>
                <w:b/>
                <w:bCs/>
              </w:rPr>
              <w:t>Wilaya</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7D40C14E" w14:textId="77777777" w:rsidR="00CA3BA8" w:rsidRPr="00815508" w:rsidRDefault="00CA3BA8" w:rsidP="001E6FD3">
            <w:pPr>
              <w:jc w:val="center"/>
              <w:rPr>
                <w:rFonts w:asciiTheme="majorBidi" w:hAnsiTheme="majorBidi" w:cstheme="majorBidi"/>
                <w:b/>
                <w:bCs/>
              </w:rPr>
            </w:pPr>
            <w:r w:rsidRPr="00815508">
              <w:rPr>
                <w:rFonts w:asciiTheme="majorBidi" w:hAnsiTheme="majorBidi" w:cstheme="majorBidi"/>
                <w:b/>
                <w:bCs/>
              </w:rPr>
              <w:t>Chef-lieu de Wilaya</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14:paraId="3844BEA1" w14:textId="77777777" w:rsidR="00CA3BA8" w:rsidRPr="00815508" w:rsidRDefault="00CA3BA8" w:rsidP="001E6FD3">
            <w:pPr>
              <w:jc w:val="center"/>
              <w:rPr>
                <w:rFonts w:asciiTheme="majorBidi" w:hAnsiTheme="majorBidi" w:cstheme="majorBidi"/>
                <w:b/>
                <w:bCs/>
              </w:rPr>
            </w:pPr>
            <w:r w:rsidRPr="00815508">
              <w:rPr>
                <w:rFonts w:asciiTheme="majorBidi" w:hAnsiTheme="majorBidi" w:cstheme="majorBidi"/>
                <w:b/>
                <w:bCs/>
              </w:rPr>
              <w:t xml:space="preserve">Chef-lieu de </w:t>
            </w:r>
            <w:proofErr w:type="spellStart"/>
            <w:r w:rsidRPr="00815508">
              <w:rPr>
                <w:rFonts w:asciiTheme="majorBidi" w:hAnsiTheme="majorBidi" w:cstheme="majorBidi"/>
                <w:b/>
                <w:bCs/>
              </w:rPr>
              <w:t>Moughataa</w:t>
            </w:r>
            <w:proofErr w:type="spellEnd"/>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4051F28A" w14:textId="77777777" w:rsidR="00CA3BA8" w:rsidRPr="00815508" w:rsidRDefault="00CA3BA8" w:rsidP="001E6FD3">
            <w:pPr>
              <w:jc w:val="center"/>
              <w:rPr>
                <w:rFonts w:asciiTheme="majorBidi" w:hAnsiTheme="majorBidi" w:cstheme="majorBidi"/>
                <w:b/>
                <w:bCs/>
              </w:rPr>
            </w:pPr>
            <w:r w:rsidRPr="00815508">
              <w:rPr>
                <w:rFonts w:asciiTheme="majorBidi" w:hAnsiTheme="majorBidi" w:cstheme="majorBidi"/>
                <w:b/>
                <w:bCs/>
              </w:rPr>
              <w:t>Chef-lieu de Commune</w:t>
            </w:r>
          </w:p>
        </w:tc>
        <w:tc>
          <w:tcPr>
            <w:tcW w:w="1121" w:type="dxa"/>
            <w:tcBorders>
              <w:top w:val="single" w:sz="4" w:space="0" w:color="auto"/>
              <w:left w:val="nil"/>
              <w:bottom w:val="single" w:sz="4" w:space="0" w:color="auto"/>
              <w:right w:val="nil"/>
            </w:tcBorders>
          </w:tcPr>
          <w:p w14:paraId="1315D2A4" w14:textId="77777777" w:rsidR="00CA3BA8" w:rsidRPr="00815508" w:rsidRDefault="00CA3BA8" w:rsidP="001E6FD3">
            <w:pPr>
              <w:jc w:val="center"/>
              <w:rPr>
                <w:rFonts w:asciiTheme="majorBidi" w:hAnsiTheme="majorBidi" w:cstheme="majorBidi"/>
                <w:b/>
                <w:bCs/>
              </w:rPr>
            </w:pPr>
          </w:p>
        </w:tc>
        <w:tc>
          <w:tcPr>
            <w:tcW w:w="1121" w:type="dxa"/>
            <w:tcBorders>
              <w:top w:val="single" w:sz="4" w:space="0" w:color="auto"/>
              <w:left w:val="nil"/>
              <w:bottom w:val="single" w:sz="4" w:space="0" w:color="auto"/>
              <w:right w:val="single" w:sz="4" w:space="0" w:color="auto"/>
            </w:tcBorders>
            <w:shd w:val="clear" w:color="auto" w:fill="auto"/>
            <w:noWrap/>
            <w:vAlign w:val="center"/>
            <w:hideMark/>
          </w:tcPr>
          <w:p w14:paraId="22D27FFC" w14:textId="0D65BD24" w:rsidR="00CA3BA8" w:rsidRPr="00815508" w:rsidRDefault="00CA3BA8" w:rsidP="001E6FD3">
            <w:pPr>
              <w:jc w:val="center"/>
              <w:rPr>
                <w:rFonts w:asciiTheme="majorBidi" w:hAnsiTheme="majorBidi" w:cstheme="majorBidi"/>
                <w:b/>
                <w:bCs/>
              </w:rPr>
            </w:pPr>
            <w:r w:rsidRPr="00815508">
              <w:rPr>
                <w:rFonts w:asciiTheme="majorBidi" w:hAnsiTheme="majorBidi" w:cstheme="majorBidi"/>
                <w:b/>
                <w:bCs/>
              </w:rPr>
              <w:t>Total</w:t>
            </w:r>
          </w:p>
        </w:tc>
      </w:tr>
      <w:tr w:rsidR="00CA3BA8" w:rsidRPr="00815508" w14:paraId="45CDA7C5" w14:textId="77777777" w:rsidTr="00CA3BA8">
        <w:trPr>
          <w:trHeight w:val="289"/>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7E6B37EE" w14:textId="77777777" w:rsidR="00CA3BA8" w:rsidRPr="00815508" w:rsidRDefault="00CA3BA8" w:rsidP="001E6FD3">
            <w:pPr>
              <w:rPr>
                <w:rFonts w:asciiTheme="majorBidi" w:hAnsiTheme="majorBidi" w:cstheme="majorBidi"/>
              </w:rPr>
            </w:pPr>
            <w:proofErr w:type="spellStart"/>
            <w:r w:rsidRPr="00815508">
              <w:rPr>
                <w:rFonts w:asciiTheme="majorBidi" w:hAnsiTheme="majorBidi" w:cstheme="majorBidi"/>
              </w:rPr>
              <w:t>Hodh</w:t>
            </w:r>
            <w:proofErr w:type="spellEnd"/>
            <w:r w:rsidRPr="00815508">
              <w:rPr>
                <w:rFonts w:asciiTheme="majorBidi" w:hAnsiTheme="majorBidi" w:cstheme="majorBidi"/>
              </w:rPr>
              <w:t xml:space="preserve"> </w:t>
            </w:r>
            <w:proofErr w:type="spellStart"/>
            <w:r w:rsidRPr="00815508">
              <w:rPr>
                <w:rFonts w:asciiTheme="majorBidi" w:hAnsiTheme="majorBidi" w:cstheme="majorBidi"/>
              </w:rPr>
              <w:t>Echarghi</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14:paraId="724D9361" w14:textId="77777777" w:rsidR="00CA3BA8" w:rsidRPr="00815508" w:rsidRDefault="00CA3BA8" w:rsidP="001E6FD3">
            <w:pPr>
              <w:jc w:val="center"/>
              <w:rPr>
                <w:rFonts w:asciiTheme="majorBidi" w:hAnsiTheme="majorBidi" w:cstheme="majorBidi"/>
              </w:rPr>
            </w:pPr>
            <w:r w:rsidRPr="00815508">
              <w:rPr>
                <w:rFonts w:asciiTheme="majorBidi" w:hAnsiTheme="majorBidi" w:cstheme="majorBidi"/>
              </w:rPr>
              <w:t>1</w:t>
            </w:r>
          </w:p>
        </w:tc>
        <w:tc>
          <w:tcPr>
            <w:tcW w:w="1794" w:type="dxa"/>
            <w:tcBorders>
              <w:top w:val="nil"/>
              <w:left w:val="nil"/>
              <w:bottom w:val="single" w:sz="4" w:space="0" w:color="auto"/>
              <w:right w:val="single" w:sz="4" w:space="0" w:color="auto"/>
            </w:tcBorders>
            <w:shd w:val="clear" w:color="auto" w:fill="auto"/>
            <w:noWrap/>
            <w:vAlign w:val="center"/>
            <w:hideMark/>
          </w:tcPr>
          <w:p w14:paraId="251BE79A" w14:textId="77777777" w:rsidR="00CA3BA8" w:rsidRPr="00815508" w:rsidRDefault="00CA3BA8" w:rsidP="001E6FD3">
            <w:pPr>
              <w:jc w:val="center"/>
              <w:rPr>
                <w:rFonts w:asciiTheme="majorBidi" w:hAnsiTheme="majorBidi" w:cstheme="majorBidi"/>
              </w:rPr>
            </w:pPr>
            <w:r w:rsidRPr="00815508">
              <w:rPr>
                <w:rFonts w:asciiTheme="majorBidi" w:hAnsiTheme="majorBidi" w:cstheme="majorBidi"/>
              </w:rPr>
              <w:t>1</w:t>
            </w:r>
          </w:p>
        </w:tc>
        <w:tc>
          <w:tcPr>
            <w:tcW w:w="1439" w:type="dxa"/>
            <w:tcBorders>
              <w:top w:val="nil"/>
              <w:left w:val="nil"/>
              <w:bottom w:val="single" w:sz="4" w:space="0" w:color="auto"/>
              <w:right w:val="single" w:sz="4" w:space="0" w:color="auto"/>
            </w:tcBorders>
            <w:shd w:val="clear" w:color="auto" w:fill="auto"/>
            <w:noWrap/>
            <w:vAlign w:val="center"/>
            <w:hideMark/>
          </w:tcPr>
          <w:p w14:paraId="3A90C00F" w14:textId="77777777" w:rsidR="00CA3BA8" w:rsidRPr="00815508" w:rsidRDefault="00CA3BA8" w:rsidP="001E6FD3">
            <w:pPr>
              <w:jc w:val="center"/>
              <w:rPr>
                <w:rFonts w:asciiTheme="majorBidi" w:hAnsiTheme="majorBidi" w:cstheme="majorBidi"/>
              </w:rPr>
            </w:pPr>
            <w:r w:rsidRPr="00815508">
              <w:rPr>
                <w:rFonts w:asciiTheme="majorBidi" w:hAnsiTheme="majorBidi" w:cstheme="majorBidi"/>
              </w:rPr>
              <w:t>1</w:t>
            </w:r>
          </w:p>
        </w:tc>
        <w:tc>
          <w:tcPr>
            <w:tcW w:w="1121" w:type="dxa"/>
            <w:tcBorders>
              <w:top w:val="nil"/>
              <w:left w:val="nil"/>
              <w:bottom w:val="single" w:sz="4" w:space="0" w:color="auto"/>
              <w:right w:val="nil"/>
            </w:tcBorders>
          </w:tcPr>
          <w:p w14:paraId="4777AA70" w14:textId="77777777" w:rsidR="00CA3BA8" w:rsidRPr="00815508" w:rsidRDefault="00CA3BA8" w:rsidP="001E6FD3">
            <w:pPr>
              <w:jc w:val="center"/>
              <w:rPr>
                <w:rFonts w:asciiTheme="majorBidi" w:hAnsiTheme="majorBidi" w:cstheme="majorBidi"/>
                <w:b/>
                <w:bCs/>
              </w:rPr>
            </w:pPr>
          </w:p>
        </w:tc>
        <w:tc>
          <w:tcPr>
            <w:tcW w:w="1121" w:type="dxa"/>
            <w:tcBorders>
              <w:top w:val="nil"/>
              <w:left w:val="nil"/>
              <w:bottom w:val="single" w:sz="4" w:space="0" w:color="auto"/>
              <w:right w:val="single" w:sz="4" w:space="0" w:color="auto"/>
            </w:tcBorders>
            <w:shd w:val="clear" w:color="auto" w:fill="auto"/>
            <w:noWrap/>
            <w:vAlign w:val="center"/>
            <w:hideMark/>
          </w:tcPr>
          <w:p w14:paraId="5E24D35E" w14:textId="473E98C5" w:rsidR="00CA3BA8" w:rsidRPr="00815508" w:rsidRDefault="00CA3BA8" w:rsidP="001E6FD3">
            <w:pPr>
              <w:jc w:val="center"/>
              <w:rPr>
                <w:rFonts w:asciiTheme="majorBidi" w:hAnsiTheme="majorBidi" w:cstheme="majorBidi"/>
                <w:b/>
                <w:bCs/>
              </w:rPr>
            </w:pPr>
            <w:r w:rsidRPr="00815508">
              <w:rPr>
                <w:rFonts w:asciiTheme="majorBidi" w:hAnsiTheme="majorBidi" w:cstheme="majorBidi"/>
                <w:b/>
                <w:bCs/>
              </w:rPr>
              <w:t>2</w:t>
            </w:r>
          </w:p>
        </w:tc>
      </w:tr>
      <w:tr w:rsidR="00CA3BA8" w:rsidRPr="00815508" w14:paraId="4DEC140B" w14:textId="77777777" w:rsidTr="00CA3BA8">
        <w:trPr>
          <w:trHeight w:val="289"/>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7DAA1C9C" w14:textId="77777777" w:rsidR="00CA3BA8" w:rsidRPr="00815508" w:rsidRDefault="00CA3BA8" w:rsidP="001E6FD3">
            <w:pPr>
              <w:rPr>
                <w:rFonts w:asciiTheme="majorBidi" w:hAnsiTheme="majorBidi" w:cstheme="majorBidi"/>
              </w:rPr>
            </w:pPr>
            <w:proofErr w:type="spellStart"/>
            <w:r w:rsidRPr="00815508">
              <w:rPr>
                <w:rFonts w:asciiTheme="majorBidi" w:hAnsiTheme="majorBidi" w:cstheme="majorBidi"/>
              </w:rPr>
              <w:t>Hodh</w:t>
            </w:r>
            <w:proofErr w:type="spellEnd"/>
            <w:r w:rsidRPr="00815508">
              <w:rPr>
                <w:rFonts w:asciiTheme="majorBidi" w:hAnsiTheme="majorBidi" w:cstheme="majorBidi"/>
              </w:rPr>
              <w:t xml:space="preserve"> El Gharbi</w:t>
            </w:r>
          </w:p>
        </w:tc>
        <w:tc>
          <w:tcPr>
            <w:tcW w:w="1439" w:type="dxa"/>
            <w:tcBorders>
              <w:top w:val="nil"/>
              <w:left w:val="nil"/>
              <w:bottom w:val="single" w:sz="4" w:space="0" w:color="auto"/>
              <w:right w:val="single" w:sz="4" w:space="0" w:color="auto"/>
            </w:tcBorders>
            <w:shd w:val="clear" w:color="auto" w:fill="auto"/>
            <w:noWrap/>
            <w:hideMark/>
          </w:tcPr>
          <w:p w14:paraId="02188A08" w14:textId="77777777" w:rsidR="00CA3BA8" w:rsidRPr="00815508" w:rsidRDefault="00CA3BA8" w:rsidP="001E6FD3">
            <w:pPr>
              <w:jc w:val="center"/>
              <w:rPr>
                <w:rFonts w:asciiTheme="majorBidi" w:hAnsiTheme="majorBidi" w:cstheme="majorBidi"/>
              </w:rPr>
            </w:pPr>
            <w:r w:rsidRPr="00815508">
              <w:rPr>
                <w:rFonts w:asciiTheme="majorBidi" w:hAnsiTheme="majorBidi" w:cstheme="majorBidi"/>
              </w:rPr>
              <w:t>1</w:t>
            </w:r>
          </w:p>
        </w:tc>
        <w:tc>
          <w:tcPr>
            <w:tcW w:w="1794" w:type="dxa"/>
            <w:tcBorders>
              <w:top w:val="nil"/>
              <w:left w:val="nil"/>
              <w:bottom w:val="single" w:sz="4" w:space="0" w:color="auto"/>
              <w:right w:val="single" w:sz="4" w:space="0" w:color="auto"/>
            </w:tcBorders>
            <w:shd w:val="clear" w:color="auto" w:fill="auto"/>
            <w:noWrap/>
            <w:hideMark/>
          </w:tcPr>
          <w:p w14:paraId="0274040A" w14:textId="77777777" w:rsidR="00CA3BA8" w:rsidRPr="00815508" w:rsidRDefault="00CA3BA8" w:rsidP="001E6FD3">
            <w:pPr>
              <w:jc w:val="center"/>
              <w:rPr>
                <w:rFonts w:asciiTheme="majorBidi" w:hAnsiTheme="majorBidi" w:cstheme="majorBidi"/>
              </w:rPr>
            </w:pPr>
            <w:r w:rsidRPr="00815508">
              <w:rPr>
                <w:rFonts w:asciiTheme="majorBidi" w:hAnsiTheme="majorBidi" w:cstheme="majorBidi"/>
              </w:rPr>
              <w:t>0</w:t>
            </w:r>
          </w:p>
        </w:tc>
        <w:tc>
          <w:tcPr>
            <w:tcW w:w="1439" w:type="dxa"/>
            <w:tcBorders>
              <w:top w:val="nil"/>
              <w:left w:val="nil"/>
              <w:bottom w:val="single" w:sz="4" w:space="0" w:color="auto"/>
              <w:right w:val="single" w:sz="4" w:space="0" w:color="auto"/>
            </w:tcBorders>
            <w:shd w:val="clear" w:color="auto" w:fill="auto"/>
            <w:noWrap/>
            <w:hideMark/>
          </w:tcPr>
          <w:p w14:paraId="37CBB0C7" w14:textId="77777777" w:rsidR="00CA3BA8" w:rsidRPr="00815508" w:rsidRDefault="00CA3BA8" w:rsidP="001E6FD3">
            <w:pPr>
              <w:jc w:val="center"/>
              <w:rPr>
                <w:rFonts w:asciiTheme="majorBidi" w:hAnsiTheme="majorBidi" w:cstheme="majorBidi"/>
              </w:rPr>
            </w:pPr>
            <w:r w:rsidRPr="00815508">
              <w:rPr>
                <w:rFonts w:asciiTheme="majorBidi" w:hAnsiTheme="majorBidi" w:cstheme="majorBidi"/>
              </w:rPr>
              <w:t>0</w:t>
            </w:r>
          </w:p>
        </w:tc>
        <w:tc>
          <w:tcPr>
            <w:tcW w:w="1121" w:type="dxa"/>
            <w:tcBorders>
              <w:top w:val="nil"/>
              <w:left w:val="nil"/>
              <w:bottom w:val="single" w:sz="4" w:space="0" w:color="auto"/>
              <w:right w:val="nil"/>
            </w:tcBorders>
          </w:tcPr>
          <w:p w14:paraId="25F745C3" w14:textId="77777777" w:rsidR="00CA3BA8" w:rsidRPr="00815508" w:rsidRDefault="00CA3BA8" w:rsidP="001E6FD3">
            <w:pPr>
              <w:jc w:val="center"/>
              <w:rPr>
                <w:rFonts w:asciiTheme="majorBidi" w:hAnsiTheme="majorBidi" w:cstheme="majorBidi"/>
                <w:b/>
                <w:bCs/>
              </w:rPr>
            </w:pPr>
          </w:p>
        </w:tc>
        <w:tc>
          <w:tcPr>
            <w:tcW w:w="1121" w:type="dxa"/>
            <w:tcBorders>
              <w:top w:val="nil"/>
              <w:left w:val="nil"/>
              <w:bottom w:val="single" w:sz="4" w:space="0" w:color="auto"/>
              <w:right w:val="single" w:sz="4" w:space="0" w:color="auto"/>
            </w:tcBorders>
            <w:shd w:val="clear" w:color="auto" w:fill="auto"/>
            <w:noWrap/>
            <w:vAlign w:val="center"/>
            <w:hideMark/>
          </w:tcPr>
          <w:p w14:paraId="1C499529" w14:textId="54D2619A" w:rsidR="00CA3BA8" w:rsidRPr="00815508" w:rsidRDefault="00CA3BA8" w:rsidP="001E6FD3">
            <w:pPr>
              <w:jc w:val="center"/>
              <w:rPr>
                <w:rFonts w:asciiTheme="majorBidi" w:hAnsiTheme="majorBidi" w:cstheme="majorBidi"/>
                <w:b/>
                <w:bCs/>
              </w:rPr>
            </w:pPr>
            <w:r w:rsidRPr="00815508">
              <w:rPr>
                <w:rFonts w:asciiTheme="majorBidi" w:hAnsiTheme="majorBidi" w:cstheme="majorBidi"/>
                <w:b/>
                <w:bCs/>
              </w:rPr>
              <w:t>1</w:t>
            </w:r>
          </w:p>
        </w:tc>
      </w:tr>
      <w:tr w:rsidR="00CA3BA8" w:rsidRPr="00815508" w14:paraId="5F44839A" w14:textId="77777777" w:rsidTr="00CA3BA8">
        <w:trPr>
          <w:trHeight w:val="289"/>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74C9D524" w14:textId="77777777" w:rsidR="00CA3BA8" w:rsidRPr="00815508" w:rsidRDefault="00CA3BA8" w:rsidP="001E6FD3">
            <w:pPr>
              <w:rPr>
                <w:rFonts w:asciiTheme="majorBidi" w:hAnsiTheme="majorBidi" w:cstheme="majorBidi"/>
              </w:rPr>
            </w:pPr>
            <w:proofErr w:type="spellStart"/>
            <w:r w:rsidRPr="00815508">
              <w:rPr>
                <w:rFonts w:asciiTheme="majorBidi" w:hAnsiTheme="majorBidi" w:cstheme="majorBidi"/>
              </w:rPr>
              <w:t>Assaba</w:t>
            </w:r>
            <w:proofErr w:type="spellEnd"/>
          </w:p>
        </w:tc>
        <w:tc>
          <w:tcPr>
            <w:tcW w:w="1439" w:type="dxa"/>
            <w:tcBorders>
              <w:top w:val="nil"/>
              <w:left w:val="nil"/>
              <w:bottom w:val="single" w:sz="4" w:space="0" w:color="auto"/>
              <w:right w:val="single" w:sz="4" w:space="0" w:color="auto"/>
            </w:tcBorders>
            <w:shd w:val="clear" w:color="auto" w:fill="auto"/>
            <w:noWrap/>
            <w:hideMark/>
          </w:tcPr>
          <w:p w14:paraId="7E02BC89" w14:textId="77777777" w:rsidR="00CA3BA8" w:rsidRPr="00815508" w:rsidRDefault="00CA3BA8" w:rsidP="001E6FD3">
            <w:pPr>
              <w:jc w:val="center"/>
              <w:rPr>
                <w:rFonts w:asciiTheme="majorBidi" w:hAnsiTheme="majorBidi" w:cstheme="majorBidi"/>
              </w:rPr>
            </w:pPr>
            <w:r w:rsidRPr="00815508">
              <w:rPr>
                <w:rFonts w:asciiTheme="majorBidi" w:hAnsiTheme="majorBidi" w:cstheme="majorBidi"/>
              </w:rPr>
              <w:t>1</w:t>
            </w:r>
          </w:p>
        </w:tc>
        <w:tc>
          <w:tcPr>
            <w:tcW w:w="1794" w:type="dxa"/>
            <w:tcBorders>
              <w:top w:val="nil"/>
              <w:left w:val="nil"/>
              <w:bottom w:val="single" w:sz="4" w:space="0" w:color="auto"/>
              <w:right w:val="single" w:sz="4" w:space="0" w:color="auto"/>
            </w:tcBorders>
            <w:shd w:val="clear" w:color="auto" w:fill="auto"/>
            <w:noWrap/>
            <w:hideMark/>
          </w:tcPr>
          <w:p w14:paraId="4A07DAB7" w14:textId="77777777" w:rsidR="00CA3BA8" w:rsidRPr="00815508" w:rsidRDefault="00CA3BA8" w:rsidP="001E6FD3">
            <w:pPr>
              <w:jc w:val="center"/>
              <w:rPr>
                <w:rFonts w:asciiTheme="majorBidi" w:hAnsiTheme="majorBidi" w:cstheme="majorBidi"/>
              </w:rPr>
            </w:pPr>
            <w:r w:rsidRPr="00815508">
              <w:rPr>
                <w:rFonts w:asciiTheme="majorBidi" w:hAnsiTheme="majorBidi" w:cstheme="majorBidi"/>
              </w:rPr>
              <w:t>0</w:t>
            </w:r>
          </w:p>
        </w:tc>
        <w:tc>
          <w:tcPr>
            <w:tcW w:w="1439" w:type="dxa"/>
            <w:tcBorders>
              <w:top w:val="nil"/>
              <w:left w:val="nil"/>
              <w:bottom w:val="single" w:sz="4" w:space="0" w:color="auto"/>
              <w:right w:val="single" w:sz="4" w:space="0" w:color="auto"/>
            </w:tcBorders>
            <w:shd w:val="clear" w:color="auto" w:fill="auto"/>
            <w:noWrap/>
            <w:hideMark/>
          </w:tcPr>
          <w:p w14:paraId="2A5E7D91" w14:textId="77777777" w:rsidR="00CA3BA8" w:rsidRPr="00815508" w:rsidRDefault="00CA3BA8" w:rsidP="001E6FD3">
            <w:pPr>
              <w:jc w:val="center"/>
              <w:rPr>
                <w:rFonts w:asciiTheme="majorBidi" w:hAnsiTheme="majorBidi" w:cstheme="majorBidi"/>
              </w:rPr>
            </w:pPr>
            <w:r w:rsidRPr="00815508">
              <w:rPr>
                <w:rFonts w:asciiTheme="majorBidi" w:hAnsiTheme="majorBidi" w:cstheme="majorBidi"/>
              </w:rPr>
              <w:t>0</w:t>
            </w:r>
          </w:p>
        </w:tc>
        <w:tc>
          <w:tcPr>
            <w:tcW w:w="1121" w:type="dxa"/>
            <w:tcBorders>
              <w:top w:val="nil"/>
              <w:left w:val="nil"/>
              <w:bottom w:val="single" w:sz="4" w:space="0" w:color="auto"/>
              <w:right w:val="nil"/>
            </w:tcBorders>
          </w:tcPr>
          <w:p w14:paraId="0B777255" w14:textId="77777777" w:rsidR="00CA3BA8" w:rsidRPr="00815508" w:rsidRDefault="00CA3BA8" w:rsidP="001E6FD3">
            <w:pPr>
              <w:jc w:val="center"/>
              <w:rPr>
                <w:rFonts w:asciiTheme="majorBidi" w:hAnsiTheme="majorBidi" w:cstheme="majorBidi"/>
                <w:b/>
                <w:bCs/>
              </w:rPr>
            </w:pPr>
          </w:p>
        </w:tc>
        <w:tc>
          <w:tcPr>
            <w:tcW w:w="1121" w:type="dxa"/>
            <w:tcBorders>
              <w:top w:val="nil"/>
              <w:left w:val="nil"/>
              <w:bottom w:val="single" w:sz="4" w:space="0" w:color="auto"/>
              <w:right w:val="single" w:sz="4" w:space="0" w:color="auto"/>
            </w:tcBorders>
            <w:shd w:val="clear" w:color="auto" w:fill="auto"/>
            <w:noWrap/>
            <w:vAlign w:val="center"/>
            <w:hideMark/>
          </w:tcPr>
          <w:p w14:paraId="0603EA69" w14:textId="1A3C0423" w:rsidR="00CA3BA8" w:rsidRPr="00815508" w:rsidRDefault="00CA3BA8" w:rsidP="001E6FD3">
            <w:pPr>
              <w:jc w:val="center"/>
              <w:rPr>
                <w:rFonts w:asciiTheme="majorBidi" w:hAnsiTheme="majorBidi" w:cstheme="majorBidi"/>
                <w:b/>
                <w:bCs/>
              </w:rPr>
            </w:pPr>
            <w:r w:rsidRPr="00815508">
              <w:rPr>
                <w:rFonts w:asciiTheme="majorBidi" w:hAnsiTheme="majorBidi" w:cstheme="majorBidi"/>
                <w:b/>
                <w:bCs/>
              </w:rPr>
              <w:t>1</w:t>
            </w:r>
          </w:p>
        </w:tc>
      </w:tr>
      <w:tr w:rsidR="00CA3BA8" w:rsidRPr="00815508" w14:paraId="34E275D8" w14:textId="77777777" w:rsidTr="00CA3BA8">
        <w:trPr>
          <w:trHeight w:val="289"/>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62799365" w14:textId="77777777" w:rsidR="00CA3BA8" w:rsidRPr="00815508" w:rsidRDefault="00CA3BA8" w:rsidP="001E6FD3">
            <w:pPr>
              <w:rPr>
                <w:rFonts w:asciiTheme="majorBidi" w:hAnsiTheme="majorBidi" w:cstheme="majorBidi"/>
              </w:rPr>
            </w:pPr>
            <w:r w:rsidRPr="00815508">
              <w:rPr>
                <w:rFonts w:asciiTheme="majorBidi" w:hAnsiTheme="majorBidi" w:cstheme="majorBidi"/>
              </w:rPr>
              <w:t>Trarza</w:t>
            </w:r>
          </w:p>
        </w:tc>
        <w:tc>
          <w:tcPr>
            <w:tcW w:w="1439" w:type="dxa"/>
            <w:tcBorders>
              <w:top w:val="nil"/>
              <w:left w:val="nil"/>
              <w:bottom w:val="single" w:sz="4" w:space="0" w:color="auto"/>
              <w:right w:val="single" w:sz="4" w:space="0" w:color="auto"/>
            </w:tcBorders>
            <w:shd w:val="clear" w:color="auto" w:fill="auto"/>
            <w:noWrap/>
            <w:hideMark/>
          </w:tcPr>
          <w:p w14:paraId="6D186B78" w14:textId="77777777" w:rsidR="00CA3BA8" w:rsidRPr="00815508" w:rsidRDefault="00CA3BA8" w:rsidP="001E6FD3">
            <w:pPr>
              <w:jc w:val="center"/>
              <w:rPr>
                <w:rFonts w:asciiTheme="majorBidi" w:hAnsiTheme="majorBidi" w:cstheme="majorBidi"/>
              </w:rPr>
            </w:pPr>
            <w:r w:rsidRPr="00815508">
              <w:rPr>
                <w:rFonts w:asciiTheme="majorBidi" w:hAnsiTheme="majorBidi" w:cstheme="majorBidi"/>
              </w:rPr>
              <w:t>1</w:t>
            </w:r>
          </w:p>
        </w:tc>
        <w:tc>
          <w:tcPr>
            <w:tcW w:w="1794" w:type="dxa"/>
            <w:tcBorders>
              <w:top w:val="nil"/>
              <w:left w:val="nil"/>
              <w:bottom w:val="single" w:sz="4" w:space="0" w:color="auto"/>
              <w:right w:val="single" w:sz="4" w:space="0" w:color="auto"/>
            </w:tcBorders>
            <w:shd w:val="clear" w:color="auto" w:fill="auto"/>
            <w:noWrap/>
            <w:hideMark/>
          </w:tcPr>
          <w:p w14:paraId="5CDFDC5E" w14:textId="77777777" w:rsidR="00CA3BA8" w:rsidRPr="00815508" w:rsidRDefault="00CA3BA8" w:rsidP="001E6FD3">
            <w:pPr>
              <w:jc w:val="center"/>
              <w:rPr>
                <w:rFonts w:asciiTheme="majorBidi" w:hAnsiTheme="majorBidi" w:cstheme="majorBidi"/>
              </w:rPr>
            </w:pPr>
            <w:r w:rsidRPr="00815508">
              <w:rPr>
                <w:rFonts w:asciiTheme="majorBidi" w:hAnsiTheme="majorBidi" w:cstheme="majorBidi"/>
              </w:rPr>
              <w:t>0</w:t>
            </w:r>
          </w:p>
        </w:tc>
        <w:tc>
          <w:tcPr>
            <w:tcW w:w="1439" w:type="dxa"/>
            <w:tcBorders>
              <w:top w:val="nil"/>
              <w:left w:val="nil"/>
              <w:bottom w:val="single" w:sz="4" w:space="0" w:color="auto"/>
              <w:right w:val="single" w:sz="4" w:space="0" w:color="auto"/>
            </w:tcBorders>
            <w:shd w:val="clear" w:color="auto" w:fill="auto"/>
            <w:noWrap/>
            <w:hideMark/>
          </w:tcPr>
          <w:p w14:paraId="1315F312" w14:textId="77777777" w:rsidR="00CA3BA8" w:rsidRPr="00815508" w:rsidRDefault="00CA3BA8" w:rsidP="001E6FD3">
            <w:pPr>
              <w:jc w:val="center"/>
              <w:rPr>
                <w:rFonts w:asciiTheme="majorBidi" w:hAnsiTheme="majorBidi" w:cstheme="majorBidi"/>
              </w:rPr>
            </w:pPr>
            <w:r w:rsidRPr="00815508">
              <w:rPr>
                <w:rFonts w:asciiTheme="majorBidi" w:hAnsiTheme="majorBidi" w:cstheme="majorBidi"/>
              </w:rPr>
              <w:t>0</w:t>
            </w:r>
          </w:p>
        </w:tc>
        <w:tc>
          <w:tcPr>
            <w:tcW w:w="1121" w:type="dxa"/>
            <w:tcBorders>
              <w:top w:val="nil"/>
              <w:left w:val="nil"/>
              <w:bottom w:val="single" w:sz="4" w:space="0" w:color="auto"/>
              <w:right w:val="nil"/>
            </w:tcBorders>
          </w:tcPr>
          <w:p w14:paraId="7923F8A1" w14:textId="77777777" w:rsidR="00CA3BA8" w:rsidRPr="00815508" w:rsidRDefault="00CA3BA8" w:rsidP="001E6FD3">
            <w:pPr>
              <w:jc w:val="center"/>
              <w:rPr>
                <w:rFonts w:asciiTheme="majorBidi" w:hAnsiTheme="majorBidi" w:cstheme="majorBidi"/>
                <w:b/>
                <w:bCs/>
              </w:rPr>
            </w:pPr>
          </w:p>
        </w:tc>
        <w:tc>
          <w:tcPr>
            <w:tcW w:w="1121" w:type="dxa"/>
            <w:tcBorders>
              <w:top w:val="nil"/>
              <w:left w:val="nil"/>
              <w:bottom w:val="single" w:sz="4" w:space="0" w:color="auto"/>
              <w:right w:val="single" w:sz="4" w:space="0" w:color="auto"/>
            </w:tcBorders>
            <w:shd w:val="clear" w:color="auto" w:fill="auto"/>
            <w:noWrap/>
            <w:vAlign w:val="center"/>
            <w:hideMark/>
          </w:tcPr>
          <w:p w14:paraId="4C1AA2C0" w14:textId="0069E287" w:rsidR="00CA3BA8" w:rsidRPr="00815508" w:rsidRDefault="00CA3BA8" w:rsidP="001E6FD3">
            <w:pPr>
              <w:jc w:val="center"/>
              <w:rPr>
                <w:rFonts w:asciiTheme="majorBidi" w:hAnsiTheme="majorBidi" w:cstheme="majorBidi"/>
                <w:b/>
                <w:bCs/>
              </w:rPr>
            </w:pPr>
            <w:r w:rsidRPr="00815508">
              <w:rPr>
                <w:rFonts w:asciiTheme="majorBidi" w:hAnsiTheme="majorBidi" w:cstheme="majorBidi"/>
                <w:b/>
                <w:bCs/>
              </w:rPr>
              <w:t>1</w:t>
            </w:r>
          </w:p>
        </w:tc>
      </w:tr>
      <w:tr w:rsidR="00CA3BA8" w:rsidRPr="00815508" w14:paraId="51732036" w14:textId="77777777" w:rsidTr="00CA3BA8">
        <w:trPr>
          <w:trHeight w:val="289"/>
          <w:jc w:val="center"/>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14:paraId="6ECFADFE" w14:textId="77777777" w:rsidR="00CA3BA8" w:rsidRPr="00815508" w:rsidRDefault="00CA3BA8" w:rsidP="001E6FD3">
            <w:pPr>
              <w:rPr>
                <w:rFonts w:asciiTheme="majorBidi" w:hAnsiTheme="majorBidi" w:cstheme="majorBidi"/>
              </w:rPr>
            </w:pPr>
            <w:proofErr w:type="spellStart"/>
            <w:r w:rsidRPr="00815508">
              <w:rPr>
                <w:rFonts w:asciiTheme="majorBidi" w:hAnsiTheme="majorBidi" w:cstheme="majorBidi"/>
              </w:rPr>
              <w:t>Guidimagha</w:t>
            </w:r>
            <w:proofErr w:type="spellEnd"/>
          </w:p>
        </w:tc>
        <w:tc>
          <w:tcPr>
            <w:tcW w:w="1439" w:type="dxa"/>
            <w:tcBorders>
              <w:top w:val="nil"/>
              <w:left w:val="nil"/>
              <w:bottom w:val="single" w:sz="4" w:space="0" w:color="auto"/>
              <w:right w:val="single" w:sz="4" w:space="0" w:color="auto"/>
            </w:tcBorders>
            <w:shd w:val="clear" w:color="auto" w:fill="auto"/>
            <w:noWrap/>
            <w:hideMark/>
          </w:tcPr>
          <w:p w14:paraId="3052D0E7" w14:textId="77777777" w:rsidR="00CA3BA8" w:rsidRPr="00815508" w:rsidRDefault="00CA3BA8" w:rsidP="001E6FD3">
            <w:pPr>
              <w:jc w:val="center"/>
              <w:rPr>
                <w:rFonts w:asciiTheme="majorBidi" w:hAnsiTheme="majorBidi" w:cstheme="majorBidi"/>
              </w:rPr>
            </w:pPr>
            <w:r w:rsidRPr="00815508">
              <w:rPr>
                <w:rFonts w:asciiTheme="majorBidi" w:hAnsiTheme="majorBidi" w:cstheme="majorBidi"/>
              </w:rPr>
              <w:t>1</w:t>
            </w:r>
          </w:p>
        </w:tc>
        <w:tc>
          <w:tcPr>
            <w:tcW w:w="1794" w:type="dxa"/>
            <w:tcBorders>
              <w:top w:val="nil"/>
              <w:left w:val="nil"/>
              <w:bottom w:val="single" w:sz="4" w:space="0" w:color="auto"/>
              <w:right w:val="single" w:sz="4" w:space="0" w:color="auto"/>
            </w:tcBorders>
            <w:shd w:val="clear" w:color="auto" w:fill="auto"/>
            <w:noWrap/>
            <w:hideMark/>
          </w:tcPr>
          <w:p w14:paraId="7424E97C" w14:textId="77777777" w:rsidR="00CA3BA8" w:rsidRPr="00815508" w:rsidRDefault="00CA3BA8" w:rsidP="001E6FD3">
            <w:pPr>
              <w:jc w:val="center"/>
              <w:rPr>
                <w:rFonts w:asciiTheme="majorBidi" w:hAnsiTheme="majorBidi" w:cstheme="majorBidi"/>
              </w:rPr>
            </w:pPr>
            <w:r w:rsidRPr="00815508">
              <w:rPr>
                <w:rFonts w:asciiTheme="majorBidi" w:hAnsiTheme="majorBidi" w:cstheme="majorBidi"/>
              </w:rPr>
              <w:t>0</w:t>
            </w:r>
          </w:p>
        </w:tc>
        <w:tc>
          <w:tcPr>
            <w:tcW w:w="1439" w:type="dxa"/>
            <w:tcBorders>
              <w:top w:val="nil"/>
              <w:left w:val="nil"/>
              <w:bottom w:val="single" w:sz="4" w:space="0" w:color="auto"/>
              <w:right w:val="single" w:sz="4" w:space="0" w:color="auto"/>
            </w:tcBorders>
            <w:shd w:val="clear" w:color="auto" w:fill="auto"/>
            <w:noWrap/>
            <w:hideMark/>
          </w:tcPr>
          <w:p w14:paraId="471E2365" w14:textId="77777777" w:rsidR="00CA3BA8" w:rsidRPr="00815508" w:rsidRDefault="00CA3BA8" w:rsidP="001E6FD3">
            <w:pPr>
              <w:jc w:val="center"/>
              <w:rPr>
                <w:rFonts w:asciiTheme="majorBidi" w:hAnsiTheme="majorBidi" w:cstheme="majorBidi"/>
              </w:rPr>
            </w:pPr>
            <w:r w:rsidRPr="00815508">
              <w:rPr>
                <w:rFonts w:asciiTheme="majorBidi" w:hAnsiTheme="majorBidi" w:cstheme="majorBidi"/>
              </w:rPr>
              <w:t>0</w:t>
            </w:r>
          </w:p>
        </w:tc>
        <w:tc>
          <w:tcPr>
            <w:tcW w:w="1121" w:type="dxa"/>
            <w:tcBorders>
              <w:top w:val="nil"/>
              <w:left w:val="nil"/>
              <w:bottom w:val="single" w:sz="4" w:space="0" w:color="auto"/>
              <w:right w:val="nil"/>
            </w:tcBorders>
          </w:tcPr>
          <w:p w14:paraId="2F54CBDE" w14:textId="77777777" w:rsidR="00CA3BA8" w:rsidRPr="00815508" w:rsidRDefault="00CA3BA8" w:rsidP="001E6FD3">
            <w:pPr>
              <w:jc w:val="center"/>
              <w:rPr>
                <w:rFonts w:asciiTheme="majorBidi" w:hAnsiTheme="majorBidi" w:cstheme="majorBidi"/>
                <w:b/>
                <w:bCs/>
              </w:rPr>
            </w:pPr>
          </w:p>
        </w:tc>
        <w:tc>
          <w:tcPr>
            <w:tcW w:w="1121" w:type="dxa"/>
            <w:tcBorders>
              <w:top w:val="nil"/>
              <w:left w:val="nil"/>
              <w:bottom w:val="single" w:sz="4" w:space="0" w:color="auto"/>
              <w:right w:val="single" w:sz="4" w:space="0" w:color="auto"/>
            </w:tcBorders>
            <w:shd w:val="clear" w:color="auto" w:fill="auto"/>
            <w:noWrap/>
            <w:vAlign w:val="center"/>
            <w:hideMark/>
          </w:tcPr>
          <w:p w14:paraId="6A40C284" w14:textId="74064367" w:rsidR="00CA3BA8" w:rsidRPr="00815508" w:rsidRDefault="00CA3BA8" w:rsidP="001E6FD3">
            <w:pPr>
              <w:jc w:val="center"/>
              <w:rPr>
                <w:rFonts w:asciiTheme="majorBidi" w:hAnsiTheme="majorBidi" w:cstheme="majorBidi"/>
                <w:b/>
                <w:bCs/>
              </w:rPr>
            </w:pPr>
            <w:r w:rsidRPr="00815508">
              <w:rPr>
                <w:rFonts w:asciiTheme="majorBidi" w:hAnsiTheme="majorBidi" w:cstheme="majorBidi"/>
                <w:b/>
                <w:bCs/>
              </w:rPr>
              <w:t>1</w:t>
            </w:r>
          </w:p>
        </w:tc>
      </w:tr>
      <w:tr w:rsidR="00CA3BA8" w:rsidRPr="00815508" w14:paraId="38E4F82F" w14:textId="77777777" w:rsidTr="00CA3BA8">
        <w:trPr>
          <w:trHeight w:val="300"/>
          <w:jc w:val="center"/>
        </w:trPr>
        <w:tc>
          <w:tcPr>
            <w:tcW w:w="21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A7A4CA" w14:textId="77777777" w:rsidR="00CA3BA8" w:rsidRPr="00815508" w:rsidRDefault="00CA3BA8" w:rsidP="001E6FD3">
            <w:pPr>
              <w:jc w:val="center"/>
              <w:rPr>
                <w:rFonts w:asciiTheme="majorBidi" w:hAnsiTheme="majorBidi" w:cstheme="majorBidi"/>
                <w:b/>
                <w:bCs/>
              </w:rPr>
            </w:pPr>
            <w:r w:rsidRPr="00815508">
              <w:rPr>
                <w:rFonts w:asciiTheme="majorBidi" w:hAnsiTheme="majorBidi" w:cstheme="majorBidi"/>
                <w:b/>
                <w:bCs/>
              </w:rPr>
              <w:t>Total</w:t>
            </w:r>
          </w:p>
        </w:tc>
        <w:tc>
          <w:tcPr>
            <w:tcW w:w="1439" w:type="dxa"/>
            <w:tcBorders>
              <w:top w:val="single" w:sz="4" w:space="0" w:color="auto"/>
              <w:left w:val="single" w:sz="4" w:space="0" w:color="auto"/>
              <w:bottom w:val="single" w:sz="4" w:space="0" w:color="auto"/>
              <w:right w:val="single" w:sz="4" w:space="0" w:color="000000"/>
            </w:tcBorders>
            <w:shd w:val="clear" w:color="auto" w:fill="auto"/>
            <w:vAlign w:val="center"/>
          </w:tcPr>
          <w:p w14:paraId="6269A5CF" w14:textId="77777777" w:rsidR="00CA3BA8" w:rsidRPr="00815508" w:rsidRDefault="00CA3BA8" w:rsidP="001E6FD3">
            <w:pPr>
              <w:jc w:val="center"/>
              <w:rPr>
                <w:rFonts w:asciiTheme="majorBidi" w:hAnsiTheme="majorBidi" w:cstheme="majorBidi"/>
                <w:b/>
                <w:bCs/>
              </w:rPr>
            </w:pPr>
            <w:r w:rsidRPr="00815508">
              <w:rPr>
                <w:rFonts w:asciiTheme="majorBidi" w:hAnsiTheme="majorBidi" w:cstheme="majorBidi"/>
                <w:b/>
                <w:bCs/>
              </w:rPr>
              <w:t>5</w:t>
            </w:r>
          </w:p>
        </w:tc>
        <w:tc>
          <w:tcPr>
            <w:tcW w:w="1794" w:type="dxa"/>
            <w:tcBorders>
              <w:top w:val="single" w:sz="4" w:space="0" w:color="auto"/>
              <w:left w:val="single" w:sz="4" w:space="0" w:color="auto"/>
              <w:bottom w:val="single" w:sz="4" w:space="0" w:color="auto"/>
              <w:right w:val="single" w:sz="4" w:space="0" w:color="000000"/>
            </w:tcBorders>
            <w:shd w:val="clear" w:color="auto" w:fill="auto"/>
            <w:vAlign w:val="center"/>
          </w:tcPr>
          <w:p w14:paraId="0A0ADA88" w14:textId="77777777" w:rsidR="00CA3BA8" w:rsidRPr="00815508" w:rsidRDefault="00CA3BA8" w:rsidP="001E6FD3">
            <w:pPr>
              <w:jc w:val="center"/>
              <w:rPr>
                <w:rFonts w:asciiTheme="majorBidi" w:hAnsiTheme="majorBidi" w:cstheme="majorBidi"/>
                <w:b/>
                <w:bCs/>
              </w:rPr>
            </w:pPr>
            <w:r w:rsidRPr="00815508">
              <w:rPr>
                <w:rFonts w:asciiTheme="majorBidi" w:hAnsiTheme="majorBidi" w:cstheme="majorBidi"/>
                <w:b/>
                <w:bCs/>
              </w:rPr>
              <w:t>1</w:t>
            </w:r>
          </w:p>
        </w:tc>
        <w:tc>
          <w:tcPr>
            <w:tcW w:w="1439" w:type="dxa"/>
            <w:tcBorders>
              <w:top w:val="single" w:sz="4" w:space="0" w:color="auto"/>
              <w:left w:val="single" w:sz="4" w:space="0" w:color="auto"/>
              <w:bottom w:val="single" w:sz="4" w:space="0" w:color="auto"/>
              <w:right w:val="single" w:sz="4" w:space="0" w:color="000000"/>
            </w:tcBorders>
            <w:shd w:val="clear" w:color="auto" w:fill="auto"/>
            <w:vAlign w:val="center"/>
          </w:tcPr>
          <w:p w14:paraId="5D6E4F33" w14:textId="77777777" w:rsidR="00CA3BA8" w:rsidRPr="00815508" w:rsidRDefault="00CA3BA8" w:rsidP="001E6FD3">
            <w:pPr>
              <w:jc w:val="center"/>
              <w:rPr>
                <w:rFonts w:asciiTheme="majorBidi" w:hAnsiTheme="majorBidi" w:cstheme="majorBidi"/>
                <w:b/>
                <w:bCs/>
              </w:rPr>
            </w:pPr>
            <w:r w:rsidRPr="00815508">
              <w:rPr>
                <w:rFonts w:asciiTheme="majorBidi" w:hAnsiTheme="majorBidi" w:cstheme="majorBidi"/>
                <w:b/>
                <w:bCs/>
              </w:rPr>
              <w:t>1</w:t>
            </w:r>
          </w:p>
        </w:tc>
        <w:tc>
          <w:tcPr>
            <w:tcW w:w="1121" w:type="dxa"/>
            <w:tcBorders>
              <w:top w:val="nil"/>
              <w:left w:val="nil"/>
              <w:bottom w:val="single" w:sz="4" w:space="0" w:color="auto"/>
              <w:right w:val="nil"/>
            </w:tcBorders>
          </w:tcPr>
          <w:p w14:paraId="08ECB6EF" w14:textId="77777777" w:rsidR="00CA3BA8" w:rsidRPr="00815508" w:rsidRDefault="00CA3BA8" w:rsidP="001E6FD3">
            <w:pPr>
              <w:jc w:val="center"/>
              <w:rPr>
                <w:rFonts w:asciiTheme="majorBidi" w:hAnsiTheme="majorBidi" w:cstheme="majorBidi"/>
                <w:b/>
                <w:bCs/>
              </w:rPr>
            </w:pPr>
          </w:p>
        </w:tc>
        <w:tc>
          <w:tcPr>
            <w:tcW w:w="1121" w:type="dxa"/>
            <w:tcBorders>
              <w:top w:val="nil"/>
              <w:left w:val="nil"/>
              <w:bottom w:val="single" w:sz="4" w:space="0" w:color="auto"/>
              <w:right w:val="single" w:sz="4" w:space="0" w:color="auto"/>
            </w:tcBorders>
            <w:shd w:val="clear" w:color="auto" w:fill="auto"/>
            <w:noWrap/>
            <w:vAlign w:val="center"/>
            <w:hideMark/>
          </w:tcPr>
          <w:p w14:paraId="6BE12F6A" w14:textId="631DCA74" w:rsidR="00CA3BA8" w:rsidRPr="00815508" w:rsidRDefault="00CA3BA8" w:rsidP="001E6FD3">
            <w:pPr>
              <w:jc w:val="center"/>
              <w:rPr>
                <w:rFonts w:asciiTheme="majorBidi" w:hAnsiTheme="majorBidi" w:cstheme="majorBidi"/>
                <w:b/>
                <w:bCs/>
              </w:rPr>
            </w:pPr>
            <w:r w:rsidRPr="00815508">
              <w:rPr>
                <w:rFonts w:asciiTheme="majorBidi" w:hAnsiTheme="majorBidi" w:cstheme="majorBidi"/>
                <w:b/>
                <w:bCs/>
              </w:rPr>
              <w:t>7</w:t>
            </w:r>
          </w:p>
        </w:tc>
      </w:tr>
      <w:bookmarkEnd w:id="3"/>
    </w:tbl>
    <w:p w14:paraId="4311F485" w14:textId="77777777" w:rsidR="00306046" w:rsidRPr="00815508" w:rsidRDefault="00306046" w:rsidP="00306046">
      <w:pPr>
        <w:rPr>
          <w:rFonts w:asciiTheme="majorBidi" w:hAnsiTheme="majorBidi" w:cstheme="majorBidi"/>
        </w:rPr>
      </w:pPr>
    </w:p>
    <w:p w14:paraId="22DE7D2B" w14:textId="77777777" w:rsidR="00306046" w:rsidRPr="00815508" w:rsidRDefault="00306046" w:rsidP="00306046">
      <w:pPr>
        <w:rPr>
          <w:rFonts w:asciiTheme="majorBidi" w:hAnsiTheme="majorBidi" w:cstheme="majorBidi"/>
        </w:rPr>
      </w:pPr>
      <w:r w:rsidRPr="00815508">
        <w:rPr>
          <w:rFonts w:asciiTheme="majorBidi" w:hAnsiTheme="majorBidi" w:cstheme="majorBidi"/>
        </w:rPr>
        <w:t xml:space="preserve">Les bénéficiaires du Projet sont les Communes, les Conseils Régionaux, les Services techniques et administratifs et les Populations des sept (7) villes intermédiaires retenues, à savoir, Néma, </w:t>
      </w:r>
      <w:proofErr w:type="spellStart"/>
      <w:r w:rsidRPr="00815508">
        <w:rPr>
          <w:rFonts w:asciiTheme="majorBidi" w:hAnsiTheme="majorBidi" w:cstheme="majorBidi"/>
        </w:rPr>
        <w:t>Aioun</w:t>
      </w:r>
      <w:proofErr w:type="spellEnd"/>
      <w:r w:rsidRPr="00815508">
        <w:rPr>
          <w:rFonts w:asciiTheme="majorBidi" w:hAnsiTheme="majorBidi" w:cstheme="majorBidi"/>
        </w:rPr>
        <w:t xml:space="preserve">, Kiffa, Rosso, </w:t>
      </w:r>
      <w:proofErr w:type="spellStart"/>
      <w:r w:rsidRPr="00815508">
        <w:rPr>
          <w:rFonts w:asciiTheme="majorBidi" w:hAnsiTheme="majorBidi" w:cstheme="majorBidi"/>
        </w:rPr>
        <w:t>Sélibaby</w:t>
      </w:r>
      <w:proofErr w:type="spellEnd"/>
      <w:r w:rsidRPr="00815508">
        <w:rPr>
          <w:rFonts w:asciiTheme="majorBidi" w:hAnsiTheme="majorBidi" w:cstheme="majorBidi"/>
        </w:rPr>
        <w:t xml:space="preserve">, </w:t>
      </w:r>
      <w:proofErr w:type="spellStart"/>
      <w:r w:rsidRPr="00815508">
        <w:rPr>
          <w:rFonts w:asciiTheme="majorBidi" w:hAnsiTheme="majorBidi" w:cstheme="majorBidi"/>
        </w:rPr>
        <w:t>Bassiknou</w:t>
      </w:r>
      <w:proofErr w:type="spellEnd"/>
      <w:r>
        <w:rPr>
          <w:rFonts w:asciiTheme="majorBidi" w:hAnsiTheme="majorBidi" w:cstheme="majorBidi"/>
        </w:rPr>
        <w:t>/</w:t>
      </w:r>
      <w:r w:rsidRPr="00166324">
        <w:rPr>
          <w:rFonts w:asciiTheme="majorBidi" w:hAnsiTheme="majorBidi" w:cstheme="majorBidi"/>
        </w:rPr>
        <w:t>M’</w:t>
      </w:r>
      <w:proofErr w:type="spellStart"/>
      <w:r w:rsidRPr="00166324">
        <w:rPr>
          <w:rFonts w:asciiTheme="majorBidi" w:hAnsiTheme="majorBidi" w:cstheme="majorBidi"/>
        </w:rPr>
        <w:t>Bera</w:t>
      </w:r>
      <w:proofErr w:type="spellEnd"/>
      <w:r w:rsidRPr="00815508">
        <w:rPr>
          <w:rFonts w:asciiTheme="majorBidi" w:hAnsiTheme="majorBidi" w:cstheme="majorBidi"/>
        </w:rPr>
        <w:t xml:space="preserve"> et Adel </w:t>
      </w:r>
      <w:proofErr w:type="spellStart"/>
      <w:r w:rsidRPr="00815508">
        <w:rPr>
          <w:rFonts w:asciiTheme="majorBidi" w:hAnsiTheme="majorBidi" w:cstheme="majorBidi"/>
        </w:rPr>
        <w:t>Bagrou</w:t>
      </w:r>
      <w:proofErr w:type="spellEnd"/>
      <w:r w:rsidRPr="00815508">
        <w:rPr>
          <w:rFonts w:asciiTheme="majorBidi" w:hAnsiTheme="majorBidi" w:cstheme="majorBidi"/>
        </w:rPr>
        <w:t>.</w:t>
      </w:r>
    </w:p>
    <w:p w14:paraId="4C748ED8" w14:textId="77777777" w:rsidR="00306046" w:rsidRPr="00815508" w:rsidRDefault="00306046" w:rsidP="00306046">
      <w:pPr>
        <w:rPr>
          <w:rFonts w:asciiTheme="majorBidi" w:hAnsiTheme="majorBidi" w:cstheme="majorBidi"/>
        </w:rPr>
      </w:pPr>
    </w:p>
    <w:p w14:paraId="2E98E576" w14:textId="77777777" w:rsidR="00306046" w:rsidRPr="00815508" w:rsidRDefault="00306046" w:rsidP="00306046">
      <w:pPr>
        <w:rPr>
          <w:rFonts w:asciiTheme="majorBidi" w:hAnsiTheme="majorBidi" w:cstheme="majorBidi"/>
        </w:rPr>
      </w:pPr>
      <w:r w:rsidRPr="00815508">
        <w:rPr>
          <w:rFonts w:asciiTheme="majorBidi" w:hAnsiTheme="majorBidi" w:cstheme="majorBidi"/>
        </w:rPr>
        <w:t>Les Communes</w:t>
      </w:r>
      <w:r>
        <w:rPr>
          <w:rFonts w:asciiTheme="majorBidi" w:hAnsiTheme="majorBidi" w:cstheme="majorBidi"/>
        </w:rPr>
        <w:t>,</w:t>
      </w:r>
      <w:r w:rsidRPr="00815508">
        <w:rPr>
          <w:rFonts w:asciiTheme="majorBidi" w:hAnsiTheme="majorBidi" w:cstheme="majorBidi"/>
        </w:rPr>
        <w:t xml:space="preserve"> constituant le principal groupe cible du Projet</w:t>
      </w:r>
      <w:r>
        <w:rPr>
          <w:rFonts w:asciiTheme="majorBidi" w:hAnsiTheme="majorBidi" w:cstheme="majorBidi"/>
        </w:rPr>
        <w:t>,</w:t>
      </w:r>
      <w:r w:rsidRPr="00815508">
        <w:rPr>
          <w:rFonts w:asciiTheme="majorBidi" w:hAnsiTheme="majorBidi" w:cstheme="majorBidi"/>
        </w:rPr>
        <w:t xml:space="preserve"> profiteront directement des investissements </w:t>
      </w:r>
      <w:r>
        <w:rPr>
          <w:rFonts w:asciiTheme="majorBidi" w:hAnsiTheme="majorBidi" w:cstheme="majorBidi"/>
        </w:rPr>
        <w:t xml:space="preserve">à </w:t>
      </w:r>
      <w:r w:rsidRPr="00815508">
        <w:rPr>
          <w:rFonts w:asciiTheme="majorBidi" w:hAnsiTheme="majorBidi" w:cstheme="majorBidi"/>
        </w:rPr>
        <w:t>réalis</w:t>
      </w:r>
      <w:r>
        <w:rPr>
          <w:rFonts w:asciiTheme="majorBidi" w:hAnsiTheme="majorBidi" w:cstheme="majorBidi"/>
        </w:rPr>
        <w:t>er</w:t>
      </w:r>
      <w:r w:rsidRPr="00815508">
        <w:rPr>
          <w:rFonts w:asciiTheme="majorBidi" w:hAnsiTheme="majorBidi" w:cstheme="majorBidi"/>
        </w:rPr>
        <w:t xml:space="preserve"> à travers l’appui financier au développement local, d’une part et des activités d’appui aux Communes et de renforcement de leurs capacités, d’autre part.</w:t>
      </w:r>
    </w:p>
    <w:p w14:paraId="3AA7B669" w14:textId="77777777" w:rsidR="00306046" w:rsidRPr="00815508" w:rsidRDefault="00306046" w:rsidP="00306046">
      <w:pPr>
        <w:rPr>
          <w:rFonts w:asciiTheme="majorBidi" w:hAnsiTheme="majorBidi" w:cstheme="majorBidi"/>
        </w:rPr>
      </w:pPr>
    </w:p>
    <w:p w14:paraId="4F0DAC1E" w14:textId="77777777" w:rsidR="00306046" w:rsidRPr="00815508" w:rsidRDefault="00306046" w:rsidP="00306046">
      <w:pPr>
        <w:rPr>
          <w:rFonts w:asciiTheme="majorBidi" w:hAnsiTheme="majorBidi" w:cstheme="majorBidi"/>
        </w:rPr>
      </w:pPr>
      <w:r w:rsidRPr="00815508">
        <w:rPr>
          <w:rFonts w:asciiTheme="majorBidi" w:hAnsiTheme="majorBidi" w:cstheme="majorBidi"/>
        </w:rPr>
        <w:t>Les Conseil régionaux bénéficieront des activités d’appui et de renforcement de leurs capacités.</w:t>
      </w:r>
    </w:p>
    <w:p w14:paraId="5A90C9CC" w14:textId="77777777" w:rsidR="00306046" w:rsidRPr="00815508" w:rsidRDefault="00306046" w:rsidP="00306046">
      <w:pPr>
        <w:rPr>
          <w:rFonts w:asciiTheme="majorBidi" w:hAnsiTheme="majorBidi" w:cstheme="majorBidi"/>
        </w:rPr>
      </w:pPr>
    </w:p>
    <w:p w14:paraId="7F9A7B36" w14:textId="77777777" w:rsidR="00306046" w:rsidRPr="00815508" w:rsidRDefault="00306046" w:rsidP="00306046">
      <w:pPr>
        <w:rPr>
          <w:rFonts w:asciiTheme="majorBidi" w:hAnsiTheme="majorBidi" w:cstheme="majorBidi"/>
        </w:rPr>
      </w:pPr>
      <w:r w:rsidRPr="00815508">
        <w:rPr>
          <w:rFonts w:asciiTheme="majorBidi" w:hAnsiTheme="majorBidi" w:cstheme="majorBidi"/>
        </w:rPr>
        <w:t>Les Administrations publiques centrales et déconcentrées, bénéficieront d’un renforcement des capacités leur permettant d’assurer un appui approprié aux Communes pour jouer efficacement leur rôle de moteur de développement local.</w:t>
      </w:r>
    </w:p>
    <w:p w14:paraId="6475BA3B" w14:textId="77777777" w:rsidR="00306046" w:rsidRPr="00815508" w:rsidRDefault="00306046" w:rsidP="00306046">
      <w:pPr>
        <w:rPr>
          <w:rFonts w:asciiTheme="majorBidi" w:hAnsiTheme="majorBidi" w:cstheme="majorBidi"/>
        </w:rPr>
      </w:pPr>
    </w:p>
    <w:p w14:paraId="13764DC4" w14:textId="77777777" w:rsidR="00306046" w:rsidRPr="00815508" w:rsidRDefault="00306046" w:rsidP="00306046">
      <w:pPr>
        <w:rPr>
          <w:rFonts w:asciiTheme="majorBidi" w:hAnsiTheme="majorBidi" w:cstheme="majorBidi"/>
        </w:rPr>
      </w:pPr>
      <w:r w:rsidRPr="00815508">
        <w:rPr>
          <w:rFonts w:asciiTheme="majorBidi" w:hAnsiTheme="majorBidi" w:cstheme="majorBidi"/>
        </w:rPr>
        <w:lastRenderedPageBreak/>
        <w:t>Les bénéficiaires indirects comprennent la population des villes</w:t>
      </w:r>
      <w:r>
        <w:rPr>
          <w:rFonts w:asciiTheme="majorBidi" w:hAnsiTheme="majorBidi" w:cstheme="majorBidi"/>
        </w:rPr>
        <w:t xml:space="preserve"> ciblées</w:t>
      </w:r>
      <w:r w:rsidRPr="00815508">
        <w:rPr>
          <w:rFonts w:asciiTheme="majorBidi" w:hAnsiTheme="majorBidi" w:cstheme="majorBidi"/>
        </w:rPr>
        <w:t xml:space="preserve"> et celle des régions dans leur ensemble et plus particulièrement les acteurs économiques du secteur formel et informels et ceux de l’économie sociale, y compris les réfugiés.</w:t>
      </w:r>
    </w:p>
    <w:p w14:paraId="3C9213FF" w14:textId="77777777" w:rsidR="00306046" w:rsidRPr="00815508" w:rsidRDefault="00306046" w:rsidP="00306046">
      <w:pPr>
        <w:pStyle w:val="Titre2"/>
        <w:rPr>
          <w:rFonts w:asciiTheme="majorBidi" w:hAnsiTheme="majorBidi"/>
        </w:rPr>
      </w:pPr>
      <w:bookmarkStart w:id="4" w:name="_Toc45959794"/>
      <w:r w:rsidRPr="00815508">
        <w:rPr>
          <w:rFonts w:asciiTheme="majorBidi" w:hAnsiTheme="majorBidi"/>
        </w:rPr>
        <w:t>Composantes du projet</w:t>
      </w:r>
      <w:bookmarkEnd w:id="4"/>
      <w:r w:rsidRPr="00815508">
        <w:rPr>
          <w:rFonts w:asciiTheme="majorBidi" w:hAnsiTheme="majorBidi"/>
        </w:rPr>
        <w:t xml:space="preserve"> </w:t>
      </w:r>
    </w:p>
    <w:p w14:paraId="4B15F587" w14:textId="77777777" w:rsidR="00306046" w:rsidRPr="00815508" w:rsidRDefault="00306046" w:rsidP="00306046">
      <w:pPr>
        <w:rPr>
          <w:rFonts w:asciiTheme="majorBidi" w:hAnsiTheme="majorBidi" w:cstheme="majorBidi"/>
        </w:rPr>
      </w:pPr>
    </w:p>
    <w:p w14:paraId="12F53BB1" w14:textId="77777777" w:rsidR="0028333C" w:rsidRPr="00306046" w:rsidRDefault="0028333C" w:rsidP="0028333C">
      <w:pPr>
        <w:rPr>
          <w:rFonts w:eastAsiaTheme="minorEastAsia" w:cs="Times New Roman"/>
          <w:szCs w:val="24"/>
          <w:lang w:eastAsia="ja-JP"/>
        </w:rPr>
      </w:pPr>
      <w:r w:rsidRPr="00306046">
        <w:rPr>
          <w:rFonts w:eastAsiaTheme="minorEastAsia" w:cs="Times New Roman"/>
          <w:szCs w:val="24"/>
          <w:lang w:eastAsia="ja-JP"/>
        </w:rPr>
        <w:t xml:space="preserve">La mise en œuvre du </w:t>
      </w:r>
      <w:r w:rsidRPr="00306046">
        <w:rPr>
          <w:rFonts w:eastAsiaTheme="minorEastAsia" w:cs="Times New Roman"/>
          <w:bCs/>
          <w:szCs w:val="24"/>
          <w:lang w:eastAsia="ja-JP"/>
        </w:rPr>
        <w:t xml:space="preserve">Projet </w:t>
      </w:r>
      <w:proofErr w:type="spellStart"/>
      <w:r w:rsidRPr="00306046">
        <w:rPr>
          <w:rFonts w:eastAsiaTheme="minorEastAsia" w:cs="Times New Roman"/>
          <w:bCs/>
          <w:szCs w:val="24"/>
          <w:lang w:eastAsia="ja-JP"/>
        </w:rPr>
        <w:t>Moudoun</w:t>
      </w:r>
      <w:proofErr w:type="spellEnd"/>
      <w:r w:rsidRPr="00306046">
        <w:rPr>
          <w:rFonts w:eastAsiaTheme="minorEastAsia" w:cs="Times New Roman"/>
          <w:szCs w:val="24"/>
          <w:lang w:eastAsia="ja-JP"/>
        </w:rPr>
        <w:t xml:space="preserve"> se fera à</w:t>
      </w:r>
      <w:r w:rsidRPr="00306046">
        <w:rPr>
          <w:rFonts w:eastAsiaTheme="minorEastAsia" w:cs="Times New Roman"/>
          <w:color w:val="222222"/>
          <w:szCs w:val="24"/>
          <w:lang w:eastAsia="ja-JP"/>
        </w:rPr>
        <w:t xml:space="preserve"> travers quatre (4) composantes </w:t>
      </w:r>
      <w:r w:rsidRPr="00306046">
        <w:rPr>
          <w:rFonts w:eastAsiaTheme="minorEastAsia" w:cs="Times New Roman"/>
          <w:szCs w:val="24"/>
          <w:lang w:eastAsia="ja-JP"/>
        </w:rPr>
        <w:t>:</w:t>
      </w:r>
    </w:p>
    <w:p w14:paraId="54A82C81" w14:textId="77777777" w:rsidR="00306046" w:rsidRPr="00815508" w:rsidRDefault="00306046" w:rsidP="00306046">
      <w:pPr>
        <w:rPr>
          <w:rFonts w:asciiTheme="majorBidi" w:hAnsiTheme="majorBidi" w:cstheme="majorBidi"/>
        </w:rPr>
      </w:pPr>
    </w:p>
    <w:p w14:paraId="52C03BB6" w14:textId="77777777" w:rsidR="00306046" w:rsidRDefault="00306046" w:rsidP="00306046">
      <w:pPr>
        <w:pStyle w:val="Paragraphedeliste"/>
        <w:numPr>
          <w:ilvl w:val="0"/>
          <w:numId w:val="5"/>
        </w:numPr>
        <w:rPr>
          <w:rFonts w:asciiTheme="majorBidi" w:hAnsiTheme="majorBidi" w:cstheme="majorBidi"/>
          <w:iCs/>
        </w:rPr>
      </w:pPr>
      <w:r w:rsidRPr="00815508">
        <w:rPr>
          <w:rFonts w:asciiTheme="majorBidi" w:hAnsiTheme="majorBidi" w:cstheme="majorBidi"/>
          <w:b/>
          <w:bCs/>
        </w:rPr>
        <w:t xml:space="preserve">Composante 1 : Améliorer l’accès aux infrastructures et aux services pour le développement économique : </w:t>
      </w:r>
      <w:r w:rsidRPr="00815508">
        <w:rPr>
          <w:rFonts w:asciiTheme="majorBidi" w:hAnsiTheme="majorBidi" w:cstheme="majorBidi"/>
          <w:iCs/>
        </w:rPr>
        <w:t>Elle consiste à</w:t>
      </w:r>
      <w:r>
        <w:rPr>
          <w:rFonts w:asciiTheme="majorBidi" w:hAnsiTheme="majorBidi" w:cstheme="majorBidi"/>
          <w:iCs/>
        </w:rPr>
        <w:t> :</w:t>
      </w:r>
    </w:p>
    <w:p w14:paraId="33BF8FB5" w14:textId="77777777" w:rsidR="00306046" w:rsidRDefault="00306046" w:rsidP="00306046">
      <w:pPr>
        <w:pStyle w:val="Paragraphedeliste"/>
        <w:numPr>
          <w:ilvl w:val="0"/>
          <w:numId w:val="6"/>
        </w:numPr>
        <w:ind w:left="1134"/>
        <w:rPr>
          <w:rFonts w:asciiTheme="majorBidi" w:hAnsiTheme="majorBidi" w:cstheme="majorBidi"/>
          <w:iCs/>
        </w:rPr>
      </w:pPr>
      <w:proofErr w:type="gramStart"/>
      <w:r w:rsidRPr="00815508">
        <w:rPr>
          <w:rFonts w:asciiTheme="majorBidi" w:hAnsiTheme="majorBidi" w:cstheme="majorBidi"/>
          <w:iCs/>
        </w:rPr>
        <w:t>un</w:t>
      </w:r>
      <w:proofErr w:type="gramEnd"/>
      <w:r w:rsidRPr="00815508">
        <w:rPr>
          <w:rFonts w:asciiTheme="majorBidi" w:hAnsiTheme="majorBidi" w:cstheme="majorBidi"/>
          <w:iCs/>
        </w:rPr>
        <w:t xml:space="preserve"> appui aux investissements des Communes</w:t>
      </w:r>
      <w:r>
        <w:rPr>
          <w:rFonts w:asciiTheme="majorBidi" w:hAnsiTheme="majorBidi" w:cstheme="majorBidi"/>
          <w:iCs/>
        </w:rPr>
        <w:t xml:space="preserve">, </w:t>
      </w:r>
      <w:r w:rsidRPr="007104FB">
        <w:rPr>
          <w:rFonts w:asciiTheme="majorBidi" w:hAnsiTheme="majorBidi" w:cstheme="majorBidi"/>
          <w:iCs/>
          <w:u w:val="single"/>
        </w:rPr>
        <w:t>dans le cadre de la sous-composante 1.1</w:t>
      </w:r>
      <w:r>
        <w:rPr>
          <w:rFonts w:asciiTheme="majorBidi" w:hAnsiTheme="majorBidi" w:cstheme="majorBidi"/>
          <w:iCs/>
        </w:rPr>
        <w:t>,</w:t>
      </w:r>
      <w:r w:rsidRPr="00815508">
        <w:rPr>
          <w:rFonts w:asciiTheme="majorBidi" w:hAnsiTheme="majorBidi" w:cstheme="majorBidi"/>
          <w:iCs/>
        </w:rPr>
        <w:t xml:space="preserve"> par l’octroi de </w:t>
      </w:r>
      <w:r>
        <w:rPr>
          <w:rFonts w:asciiTheme="majorBidi" w:hAnsiTheme="majorBidi" w:cstheme="majorBidi"/>
          <w:iCs/>
        </w:rPr>
        <w:t>s</w:t>
      </w:r>
      <w:r w:rsidRPr="00815508">
        <w:rPr>
          <w:rFonts w:asciiTheme="majorBidi" w:hAnsiTheme="majorBidi" w:cstheme="majorBidi"/>
          <w:iCs/>
        </w:rPr>
        <w:t xml:space="preserve">ubventions pour financer des infrastructures et services d’appui à la croissance et au développement économique, </w:t>
      </w:r>
      <w:r>
        <w:rPr>
          <w:rFonts w:asciiTheme="majorBidi" w:hAnsiTheme="majorBidi" w:cstheme="majorBidi"/>
          <w:iCs/>
        </w:rPr>
        <w:t>notamment,</w:t>
      </w:r>
      <w:r w:rsidRPr="00815508">
        <w:rPr>
          <w:rFonts w:asciiTheme="majorBidi" w:hAnsiTheme="majorBidi" w:cstheme="majorBidi"/>
          <w:iCs/>
        </w:rPr>
        <w:t xml:space="preserve"> des investissements qui contribuent à l’attractivité des villes pour les affaires et les employés compris dans le Plan de Développement Communal de </w:t>
      </w:r>
      <w:r>
        <w:rPr>
          <w:rFonts w:asciiTheme="majorBidi" w:hAnsiTheme="majorBidi" w:cstheme="majorBidi"/>
          <w:iCs/>
        </w:rPr>
        <w:t>chaque</w:t>
      </w:r>
      <w:r w:rsidRPr="00815508">
        <w:rPr>
          <w:rFonts w:asciiTheme="majorBidi" w:hAnsiTheme="majorBidi" w:cstheme="majorBidi"/>
          <w:iCs/>
        </w:rPr>
        <w:t xml:space="preserve"> Commune concernée, à l’exception des Dépenses Exclues (Dépenses non-éligibles)</w:t>
      </w:r>
      <w:r>
        <w:rPr>
          <w:rFonts w:asciiTheme="majorBidi" w:hAnsiTheme="majorBidi" w:cstheme="majorBidi"/>
          <w:iCs/>
        </w:rPr>
        <w:t>,</w:t>
      </w:r>
      <w:r w:rsidRPr="00815508">
        <w:rPr>
          <w:rFonts w:asciiTheme="majorBidi" w:hAnsiTheme="majorBidi" w:cstheme="majorBidi"/>
          <w:iCs/>
        </w:rPr>
        <w:t xml:space="preserve"> d’une part </w:t>
      </w:r>
      <w:r>
        <w:rPr>
          <w:rFonts w:asciiTheme="majorBidi" w:hAnsiTheme="majorBidi" w:cstheme="majorBidi"/>
          <w:iCs/>
        </w:rPr>
        <w:t xml:space="preserve">et </w:t>
      </w:r>
      <w:r w:rsidRPr="00815508">
        <w:rPr>
          <w:rFonts w:asciiTheme="majorBidi" w:hAnsiTheme="majorBidi" w:cstheme="majorBidi"/>
          <w:iCs/>
        </w:rPr>
        <w:t>d’autre part</w:t>
      </w:r>
      <w:r>
        <w:rPr>
          <w:rFonts w:asciiTheme="majorBidi" w:hAnsiTheme="majorBidi" w:cstheme="majorBidi"/>
          <w:iCs/>
        </w:rPr>
        <w:t>,</w:t>
      </w:r>
    </w:p>
    <w:p w14:paraId="56F8DD62" w14:textId="77777777" w:rsidR="00306046" w:rsidRPr="00815508" w:rsidRDefault="00306046" w:rsidP="00306046">
      <w:pPr>
        <w:pStyle w:val="Paragraphedeliste"/>
        <w:numPr>
          <w:ilvl w:val="0"/>
          <w:numId w:val="6"/>
        </w:numPr>
        <w:ind w:left="1134"/>
        <w:rPr>
          <w:rFonts w:asciiTheme="majorBidi" w:hAnsiTheme="majorBidi" w:cstheme="majorBidi"/>
          <w:iCs/>
        </w:rPr>
      </w:pPr>
      <w:proofErr w:type="gramStart"/>
      <w:r w:rsidRPr="00815508">
        <w:rPr>
          <w:rFonts w:asciiTheme="majorBidi" w:hAnsiTheme="majorBidi" w:cstheme="majorBidi"/>
          <w:iCs/>
        </w:rPr>
        <w:t>un</w:t>
      </w:r>
      <w:proofErr w:type="gramEnd"/>
      <w:r w:rsidRPr="00815508">
        <w:rPr>
          <w:rFonts w:asciiTheme="majorBidi" w:hAnsiTheme="majorBidi" w:cstheme="majorBidi"/>
          <w:iCs/>
        </w:rPr>
        <w:t xml:space="preserve"> appui </w:t>
      </w:r>
      <w:r>
        <w:rPr>
          <w:rFonts w:asciiTheme="majorBidi" w:hAnsiTheme="majorBidi" w:cstheme="majorBidi"/>
          <w:iCs/>
        </w:rPr>
        <w:t xml:space="preserve">à la SOMELEC, </w:t>
      </w:r>
      <w:r w:rsidRPr="007104FB">
        <w:rPr>
          <w:rFonts w:asciiTheme="majorBidi" w:hAnsiTheme="majorBidi" w:cstheme="majorBidi"/>
          <w:iCs/>
          <w:u w:val="single"/>
        </w:rPr>
        <w:t>dans le cadre de la sous-composante 1.2</w:t>
      </w:r>
      <w:r>
        <w:rPr>
          <w:rFonts w:asciiTheme="majorBidi" w:hAnsiTheme="majorBidi" w:cstheme="majorBidi"/>
          <w:iCs/>
        </w:rPr>
        <w:t>,</w:t>
      </w:r>
      <w:r w:rsidRPr="00815508">
        <w:rPr>
          <w:rFonts w:asciiTheme="majorBidi" w:hAnsiTheme="majorBidi" w:cstheme="majorBidi"/>
          <w:iCs/>
        </w:rPr>
        <w:t xml:space="preserve"> pour accroître l’accès à l’électricité </w:t>
      </w:r>
      <w:r>
        <w:rPr>
          <w:rFonts w:asciiTheme="majorBidi" w:hAnsiTheme="majorBidi" w:cstheme="majorBidi"/>
          <w:iCs/>
        </w:rPr>
        <w:t>d</w:t>
      </w:r>
      <w:r w:rsidRPr="00815508">
        <w:rPr>
          <w:rFonts w:asciiTheme="majorBidi" w:hAnsiTheme="majorBidi" w:cstheme="majorBidi"/>
          <w:iCs/>
        </w:rPr>
        <w:t>es ménages</w:t>
      </w:r>
      <w:r>
        <w:rPr>
          <w:rFonts w:asciiTheme="majorBidi" w:hAnsiTheme="majorBidi" w:cstheme="majorBidi"/>
          <w:iCs/>
        </w:rPr>
        <w:t xml:space="preserve"> </w:t>
      </w:r>
      <w:r w:rsidRPr="00815508">
        <w:rPr>
          <w:rFonts w:asciiTheme="majorBidi" w:hAnsiTheme="majorBidi" w:cstheme="majorBidi"/>
          <w:iCs/>
        </w:rPr>
        <w:t xml:space="preserve">dans </w:t>
      </w:r>
      <w:r>
        <w:rPr>
          <w:rFonts w:asciiTheme="majorBidi" w:hAnsiTheme="majorBidi" w:cstheme="majorBidi"/>
          <w:iCs/>
        </w:rPr>
        <w:t>toute la zone d’intervention du Projet</w:t>
      </w:r>
      <w:r w:rsidRPr="00815508">
        <w:rPr>
          <w:rFonts w:asciiTheme="majorBidi" w:hAnsiTheme="majorBidi" w:cstheme="majorBidi"/>
          <w:iCs/>
        </w:rPr>
        <w:t> ;</w:t>
      </w:r>
    </w:p>
    <w:p w14:paraId="2451CF25" w14:textId="77777777" w:rsidR="00306046" w:rsidRPr="00815508" w:rsidRDefault="00306046" w:rsidP="00306046">
      <w:pPr>
        <w:pStyle w:val="Paragraphedeliste"/>
        <w:rPr>
          <w:rFonts w:asciiTheme="majorBidi" w:hAnsiTheme="majorBidi" w:cstheme="majorBidi"/>
          <w:iCs/>
          <w:sz w:val="12"/>
          <w:szCs w:val="12"/>
        </w:rPr>
      </w:pPr>
    </w:p>
    <w:p w14:paraId="71849069" w14:textId="77777777" w:rsidR="00306046" w:rsidRPr="00815508" w:rsidRDefault="00306046" w:rsidP="00306046">
      <w:pPr>
        <w:pStyle w:val="Paragraphedeliste"/>
        <w:numPr>
          <w:ilvl w:val="0"/>
          <w:numId w:val="5"/>
        </w:numPr>
        <w:rPr>
          <w:rFonts w:asciiTheme="majorBidi" w:hAnsiTheme="majorBidi" w:cstheme="majorBidi"/>
        </w:rPr>
      </w:pPr>
      <w:r w:rsidRPr="00815508">
        <w:rPr>
          <w:rFonts w:asciiTheme="majorBidi" w:hAnsiTheme="majorBidi" w:cstheme="majorBidi"/>
          <w:b/>
          <w:bCs/>
        </w:rPr>
        <w:t xml:space="preserve">Composante 2 : Renforcer la Décentralisation et les capacités des collectivités locales : </w:t>
      </w:r>
      <w:r w:rsidRPr="00815508">
        <w:rPr>
          <w:rFonts w:asciiTheme="majorBidi" w:hAnsiTheme="majorBidi" w:cstheme="majorBidi"/>
          <w:iCs/>
        </w:rPr>
        <w:t>Elle consiste</w:t>
      </w:r>
      <w:r w:rsidRPr="00815508">
        <w:rPr>
          <w:rFonts w:asciiTheme="majorBidi" w:hAnsiTheme="majorBidi" w:cstheme="majorBidi"/>
        </w:rPr>
        <w:t xml:space="preserve"> en la fourniture d’un soutien au Gouvernement dans la politique de décentralisation et déconcentration en vue d’améliorer la prestation de services publics d’une part et d’autre part </w:t>
      </w:r>
      <w:r w:rsidRPr="00815508">
        <w:rPr>
          <w:rFonts w:asciiTheme="majorBidi" w:hAnsiTheme="majorBidi" w:cstheme="majorBidi"/>
          <w:iCs/>
        </w:rPr>
        <w:t xml:space="preserve">en la fourniture d’un appui ciblé au renforcement des capacités des Communes </w:t>
      </w:r>
      <w:r w:rsidRPr="00815508">
        <w:rPr>
          <w:rFonts w:asciiTheme="majorBidi" w:hAnsiTheme="majorBidi" w:cstheme="majorBidi"/>
        </w:rPr>
        <w:t>et Conseils régionaux ciblés en gestion des finances publiques et gestion des ressources humaines afin d’améliorer l’efficacité de leur action pour développer l’économie locale ;</w:t>
      </w:r>
    </w:p>
    <w:p w14:paraId="05A50169" w14:textId="77777777" w:rsidR="00306046" w:rsidRPr="00815508" w:rsidRDefault="00306046" w:rsidP="00306046">
      <w:pPr>
        <w:pStyle w:val="Paragraphedeliste"/>
        <w:rPr>
          <w:rFonts w:asciiTheme="majorBidi" w:hAnsiTheme="majorBidi" w:cstheme="majorBidi"/>
          <w:sz w:val="12"/>
          <w:szCs w:val="12"/>
        </w:rPr>
      </w:pPr>
    </w:p>
    <w:p w14:paraId="2633D6F6" w14:textId="77777777" w:rsidR="00306046" w:rsidRPr="00815508" w:rsidRDefault="00306046" w:rsidP="00306046">
      <w:pPr>
        <w:pStyle w:val="Paragraphedeliste"/>
        <w:numPr>
          <w:ilvl w:val="0"/>
          <w:numId w:val="5"/>
        </w:numPr>
        <w:rPr>
          <w:rFonts w:asciiTheme="majorBidi" w:hAnsiTheme="majorBidi" w:cstheme="majorBidi"/>
          <w:iCs/>
        </w:rPr>
      </w:pPr>
      <w:r w:rsidRPr="00815508">
        <w:rPr>
          <w:rFonts w:asciiTheme="majorBidi" w:hAnsiTheme="majorBidi" w:cstheme="majorBidi"/>
          <w:b/>
          <w:bCs/>
        </w:rPr>
        <w:t xml:space="preserve">Composante 3 - Gestion du Projet : </w:t>
      </w:r>
      <w:r w:rsidRPr="00815508">
        <w:rPr>
          <w:rFonts w:asciiTheme="majorBidi" w:hAnsiTheme="majorBidi" w:cstheme="majorBidi"/>
          <w:iCs/>
        </w:rPr>
        <w:t xml:space="preserve">Elle consiste </w:t>
      </w:r>
      <w:r w:rsidRPr="007104FB">
        <w:rPr>
          <w:rFonts w:asciiTheme="majorBidi" w:hAnsiTheme="majorBidi" w:cstheme="majorBidi"/>
          <w:iCs/>
        </w:rPr>
        <w:t xml:space="preserve">à financer les charges de fonctionnement ordinaires de </w:t>
      </w:r>
      <w:r w:rsidRPr="00815508">
        <w:rPr>
          <w:rFonts w:asciiTheme="majorBidi" w:hAnsiTheme="majorBidi" w:cstheme="majorBidi"/>
          <w:iCs/>
        </w:rPr>
        <w:t xml:space="preserve">l’Unité de Coordination du Projet </w:t>
      </w:r>
      <w:r>
        <w:rPr>
          <w:rFonts w:asciiTheme="majorBidi" w:hAnsiTheme="majorBidi" w:cstheme="majorBidi"/>
          <w:iCs/>
        </w:rPr>
        <w:t>(</w:t>
      </w:r>
      <w:r w:rsidRPr="007104FB">
        <w:rPr>
          <w:rFonts w:asciiTheme="majorBidi" w:hAnsiTheme="majorBidi" w:cstheme="majorBidi"/>
          <w:iCs/>
        </w:rPr>
        <w:t>UCP</w:t>
      </w:r>
      <w:r>
        <w:rPr>
          <w:rFonts w:asciiTheme="majorBidi" w:hAnsiTheme="majorBidi" w:cstheme="majorBidi"/>
          <w:iCs/>
        </w:rPr>
        <w:t>)</w:t>
      </w:r>
      <w:r w:rsidRPr="007104FB">
        <w:rPr>
          <w:rFonts w:asciiTheme="majorBidi" w:hAnsiTheme="majorBidi" w:cstheme="majorBidi"/>
          <w:iCs/>
        </w:rPr>
        <w:t xml:space="preserve"> et de l’</w:t>
      </w:r>
      <w:r>
        <w:rPr>
          <w:rFonts w:asciiTheme="majorBidi" w:hAnsiTheme="majorBidi" w:cstheme="majorBidi"/>
          <w:iCs/>
        </w:rPr>
        <w:t>U</w:t>
      </w:r>
      <w:r w:rsidRPr="007104FB">
        <w:rPr>
          <w:rFonts w:asciiTheme="majorBidi" w:hAnsiTheme="majorBidi" w:cstheme="majorBidi"/>
          <w:iCs/>
        </w:rPr>
        <w:t>nité de projet de la SOMELEC et à leur</w:t>
      </w:r>
      <w:r>
        <w:rPr>
          <w:rFonts w:asciiTheme="majorBidi" w:hAnsiTheme="majorBidi" w:cstheme="majorBidi"/>
          <w:iCs/>
        </w:rPr>
        <w:t xml:space="preserve"> fournir les</w:t>
      </w:r>
      <w:r w:rsidRPr="007104FB">
        <w:rPr>
          <w:rFonts w:asciiTheme="majorBidi" w:hAnsiTheme="majorBidi" w:cstheme="majorBidi"/>
          <w:iCs/>
        </w:rPr>
        <w:t xml:space="preserve"> appuis </w:t>
      </w:r>
      <w:r w:rsidRPr="00815508">
        <w:rPr>
          <w:rFonts w:asciiTheme="majorBidi" w:hAnsiTheme="majorBidi" w:cstheme="majorBidi"/>
          <w:iCs/>
        </w:rPr>
        <w:t>conformément aux politiques et directives de la Banque mondiale dans les domaines de la coordination, de la supervision, de la gestion financière, de la passation des marchés, des audits, des sauvegardes, du suivi et évaluation, de la formation et des frais de fonctionnement ; et</w:t>
      </w:r>
    </w:p>
    <w:p w14:paraId="2DCA6F97" w14:textId="77777777" w:rsidR="00306046" w:rsidRPr="00815508" w:rsidRDefault="00306046" w:rsidP="00306046">
      <w:pPr>
        <w:pStyle w:val="Paragraphedeliste"/>
        <w:rPr>
          <w:rFonts w:asciiTheme="majorBidi" w:hAnsiTheme="majorBidi" w:cstheme="majorBidi"/>
          <w:iCs/>
          <w:sz w:val="12"/>
          <w:szCs w:val="12"/>
        </w:rPr>
      </w:pPr>
    </w:p>
    <w:p w14:paraId="4A27ADA0" w14:textId="77777777" w:rsidR="00306046" w:rsidRPr="00815508" w:rsidRDefault="00306046" w:rsidP="00306046">
      <w:pPr>
        <w:pStyle w:val="Paragraphedeliste"/>
        <w:numPr>
          <w:ilvl w:val="0"/>
          <w:numId w:val="5"/>
        </w:numPr>
        <w:rPr>
          <w:rFonts w:asciiTheme="majorBidi" w:hAnsiTheme="majorBidi" w:cstheme="majorBidi"/>
          <w:iCs/>
        </w:rPr>
      </w:pPr>
      <w:r w:rsidRPr="00815508">
        <w:rPr>
          <w:rFonts w:asciiTheme="majorBidi" w:hAnsiTheme="majorBidi" w:cstheme="majorBidi"/>
          <w:b/>
          <w:bCs/>
          <w:iCs/>
        </w:rPr>
        <w:t>Composante 4 : Composante d’intervention d’urgence contingente :</w:t>
      </w:r>
      <w:r w:rsidRPr="00815508">
        <w:rPr>
          <w:rFonts w:asciiTheme="majorBidi" w:hAnsiTheme="majorBidi" w:cstheme="majorBidi"/>
          <w:iCs/>
        </w:rPr>
        <w:t xml:space="preserve"> Cette composante est conditionnée par l’existence d’un événement naturel qui précipite une catastrophe majeure affectant les moyens de subsistance des personnes vivant dans la zone du projet et par une réaffectation des fonds du projet pour couvrir certains coûts de réponse d’urgence et de relèvement sur demande du Gouvernement accepter par la Banque mondiale. </w:t>
      </w:r>
    </w:p>
    <w:p w14:paraId="6F3CAEAF" w14:textId="77777777" w:rsidR="00306046" w:rsidRPr="00815508" w:rsidRDefault="00306046" w:rsidP="00306046">
      <w:pPr>
        <w:rPr>
          <w:rFonts w:asciiTheme="majorBidi" w:hAnsiTheme="majorBidi" w:cstheme="majorBidi"/>
        </w:rPr>
      </w:pPr>
    </w:p>
    <w:p w14:paraId="06066E6F" w14:textId="77777777" w:rsidR="00306046" w:rsidRPr="00815508" w:rsidRDefault="00306046" w:rsidP="00306046">
      <w:pPr>
        <w:pStyle w:val="Titre2"/>
        <w:rPr>
          <w:rFonts w:asciiTheme="majorBidi" w:hAnsiTheme="majorBidi"/>
        </w:rPr>
      </w:pPr>
      <w:bookmarkStart w:id="5" w:name="_Toc45959795"/>
      <w:r w:rsidRPr="00815508">
        <w:rPr>
          <w:rFonts w:asciiTheme="majorBidi" w:hAnsiTheme="majorBidi"/>
        </w:rPr>
        <w:t>Résultats attendus</w:t>
      </w:r>
      <w:bookmarkEnd w:id="5"/>
    </w:p>
    <w:p w14:paraId="3FC7395E" w14:textId="77777777" w:rsidR="00306046" w:rsidRPr="00815508" w:rsidRDefault="00306046" w:rsidP="00306046">
      <w:pPr>
        <w:rPr>
          <w:rFonts w:asciiTheme="majorBidi" w:hAnsiTheme="majorBidi" w:cstheme="majorBidi"/>
        </w:rPr>
      </w:pPr>
    </w:p>
    <w:p w14:paraId="58F0A8F5" w14:textId="77777777" w:rsidR="00306046" w:rsidRPr="00815508" w:rsidRDefault="00306046" w:rsidP="00306046">
      <w:pPr>
        <w:rPr>
          <w:rFonts w:asciiTheme="majorBidi" w:hAnsiTheme="majorBidi" w:cstheme="majorBidi"/>
        </w:rPr>
      </w:pPr>
      <w:r w:rsidRPr="00815508">
        <w:rPr>
          <w:rFonts w:asciiTheme="majorBidi" w:hAnsiTheme="majorBidi" w:cstheme="majorBidi"/>
        </w:rPr>
        <w:t>Le Projet, étant centré sur le développement des villes intermédiaires ciblées dans le cadre d’une politique de décentralisation, vise les résultats suivants :</w:t>
      </w:r>
    </w:p>
    <w:p w14:paraId="238EA8BB" w14:textId="77777777" w:rsidR="00306046" w:rsidRPr="00815508" w:rsidRDefault="00306046" w:rsidP="00306046">
      <w:pPr>
        <w:numPr>
          <w:ilvl w:val="0"/>
          <w:numId w:val="3"/>
        </w:numPr>
        <w:ind w:left="709"/>
        <w:rPr>
          <w:rFonts w:asciiTheme="majorBidi" w:hAnsiTheme="majorBidi" w:cstheme="majorBidi"/>
        </w:rPr>
      </w:pPr>
      <w:proofErr w:type="gramStart"/>
      <w:r w:rsidRPr="00815508">
        <w:rPr>
          <w:rFonts w:asciiTheme="majorBidi" w:hAnsiTheme="majorBidi" w:cstheme="majorBidi"/>
        </w:rPr>
        <w:t>un</w:t>
      </w:r>
      <w:proofErr w:type="gramEnd"/>
      <w:r w:rsidRPr="00815508">
        <w:rPr>
          <w:rFonts w:asciiTheme="majorBidi" w:hAnsiTheme="majorBidi" w:cstheme="majorBidi"/>
        </w:rPr>
        <w:t xml:space="preserve"> meilleur accès de la population des villes à des services urbains y compris l’électricité ;  </w:t>
      </w:r>
    </w:p>
    <w:p w14:paraId="32EBCCBA" w14:textId="77777777" w:rsidR="00306046" w:rsidRPr="00815508" w:rsidRDefault="00306046" w:rsidP="00306046">
      <w:pPr>
        <w:numPr>
          <w:ilvl w:val="0"/>
          <w:numId w:val="3"/>
        </w:numPr>
        <w:ind w:left="709"/>
        <w:rPr>
          <w:rFonts w:asciiTheme="majorBidi" w:hAnsiTheme="majorBidi" w:cstheme="majorBidi"/>
        </w:rPr>
      </w:pPr>
      <w:proofErr w:type="gramStart"/>
      <w:r w:rsidRPr="00815508">
        <w:rPr>
          <w:rFonts w:asciiTheme="majorBidi" w:hAnsiTheme="majorBidi" w:cstheme="majorBidi"/>
        </w:rPr>
        <w:t>une</w:t>
      </w:r>
      <w:proofErr w:type="gramEnd"/>
      <w:r w:rsidRPr="00815508">
        <w:rPr>
          <w:rFonts w:asciiTheme="majorBidi" w:hAnsiTheme="majorBidi" w:cstheme="majorBidi"/>
        </w:rPr>
        <w:t xml:space="preserve"> amélioration de l’accès aux infrastructures et services au profit des acteurs économiques des villes</w:t>
      </w:r>
      <w:r>
        <w:rPr>
          <w:rFonts w:asciiTheme="majorBidi" w:hAnsiTheme="majorBidi" w:cstheme="majorBidi"/>
        </w:rPr>
        <w:t xml:space="preserve"> </w:t>
      </w:r>
      <w:r w:rsidRPr="00815508">
        <w:rPr>
          <w:rFonts w:asciiTheme="majorBidi" w:hAnsiTheme="majorBidi" w:cstheme="majorBidi"/>
        </w:rPr>
        <w:t xml:space="preserve">; et </w:t>
      </w:r>
    </w:p>
    <w:p w14:paraId="1B19B74A" w14:textId="77777777" w:rsidR="00306046" w:rsidRPr="00815508" w:rsidRDefault="00306046" w:rsidP="00306046">
      <w:pPr>
        <w:numPr>
          <w:ilvl w:val="0"/>
          <w:numId w:val="3"/>
        </w:numPr>
        <w:ind w:left="709"/>
        <w:rPr>
          <w:rFonts w:asciiTheme="majorBidi" w:hAnsiTheme="majorBidi" w:cstheme="majorBidi"/>
        </w:rPr>
      </w:pPr>
      <w:proofErr w:type="gramStart"/>
      <w:r w:rsidRPr="00815508">
        <w:rPr>
          <w:rFonts w:asciiTheme="majorBidi" w:hAnsiTheme="majorBidi" w:cstheme="majorBidi"/>
        </w:rPr>
        <w:t>un</w:t>
      </w:r>
      <w:proofErr w:type="gramEnd"/>
      <w:r w:rsidRPr="00815508">
        <w:rPr>
          <w:rFonts w:asciiTheme="majorBidi" w:hAnsiTheme="majorBidi" w:cstheme="majorBidi"/>
        </w:rPr>
        <w:t xml:space="preserve"> renforcement des capacités du personnel et les élus des institutions locales permettant aux communes et conseil régionaux de jouer efficacement leur rôle d'animateur du développement local.</w:t>
      </w:r>
    </w:p>
    <w:p w14:paraId="449962CE" w14:textId="77777777" w:rsidR="00306046" w:rsidRPr="00815508" w:rsidRDefault="00306046" w:rsidP="00306046">
      <w:pPr>
        <w:rPr>
          <w:rFonts w:asciiTheme="majorBidi" w:hAnsiTheme="majorBidi" w:cstheme="majorBidi"/>
        </w:rPr>
      </w:pPr>
    </w:p>
    <w:p w14:paraId="4B705945" w14:textId="77777777" w:rsidR="00306046" w:rsidRDefault="00306046" w:rsidP="00306046">
      <w:pPr>
        <w:rPr>
          <w:rFonts w:asciiTheme="majorBidi" w:hAnsiTheme="majorBidi" w:cstheme="majorBidi"/>
        </w:rPr>
      </w:pPr>
      <w:r w:rsidRPr="00815508">
        <w:rPr>
          <w:rFonts w:asciiTheme="majorBidi" w:hAnsiTheme="majorBidi" w:cstheme="majorBidi"/>
        </w:rPr>
        <w:t>L'atteinte de l'objectif de développement du Projet sera mesurée à l’aide de plusieurs indicateurs intermédiaires de résultats qui ont été identifiés pour faire le suivi des progrès par rapport à l'exécution des différentes Composantes du Projet.</w:t>
      </w:r>
    </w:p>
    <w:p w14:paraId="301D7D24" w14:textId="77777777" w:rsidR="00306046" w:rsidRPr="00815508" w:rsidRDefault="00306046" w:rsidP="00306046">
      <w:pPr>
        <w:rPr>
          <w:rFonts w:asciiTheme="majorBidi" w:hAnsiTheme="majorBidi" w:cstheme="majorBidi"/>
        </w:rPr>
      </w:pPr>
    </w:p>
    <w:p w14:paraId="76569615" w14:textId="77777777" w:rsidR="00306046" w:rsidRPr="00815508" w:rsidRDefault="00306046" w:rsidP="00306046">
      <w:pPr>
        <w:pStyle w:val="Titre2"/>
        <w:rPr>
          <w:rFonts w:asciiTheme="majorBidi" w:hAnsiTheme="majorBidi"/>
        </w:rPr>
      </w:pPr>
      <w:bookmarkStart w:id="6" w:name="_Toc45959796"/>
      <w:r w:rsidRPr="00815508">
        <w:rPr>
          <w:rFonts w:asciiTheme="majorBidi" w:hAnsiTheme="majorBidi"/>
        </w:rPr>
        <w:t>Indicateurs clés</w:t>
      </w:r>
      <w:bookmarkEnd w:id="6"/>
    </w:p>
    <w:p w14:paraId="72C892D2" w14:textId="77777777" w:rsidR="00306046" w:rsidRPr="00815508" w:rsidRDefault="00306046" w:rsidP="00306046">
      <w:pPr>
        <w:rPr>
          <w:rFonts w:asciiTheme="majorBidi" w:hAnsiTheme="majorBidi" w:cstheme="majorBidi"/>
        </w:rPr>
      </w:pPr>
    </w:p>
    <w:p w14:paraId="13B57169" w14:textId="77777777" w:rsidR="00306046" w:rsidRPr="00815508" w:rsidRDefault="00306046" w:rsidP="00306046">
      <w:pPr>
        <w:rPr>
          <w:rFonts w:asciiTheme="majorBidi" w:hAnsiTheme="majorBidi" w:cstheme="majorBidi"/>
        </w:rPr>
      </w:pPr>
      <w:r w:rsidRPr="00815508">
        <w:rPr>
          <w:rFonts w:asciiTheme="majorBidi" w:hAnsiTheme="majorBidi" w:cstheme="majorBidi"/>
        </w:rPr>
        <w:t>Les indicateurs de niveau des ODP du Projet sont les suivants :</w:t>
      </w:r>
    </w:p>
    <w:p w14:paraId="32CC8B02" w14:textId="77777777" w:rsidR="00306046" w:rsidRPr="00815508" w:rsidRDefault="00306046" w:rsidP="00306046">
      <w:pPr>
        <w:numPr>
          <w:ilvl w:val="0"/>
          <w:numId w:val="3"/>
        </w:numPr>
        <w:ind w:left="709"/>
        <w:rPr>
          <w:rFonts w:asciiTheme="majorBidi" w:hAnsiTheme="majorBidi" w:cstheme="majorBidi"/>
        </w:rPr>
      </w:pPr>
      <w:r w:rsidRPr="00815508">
        <w:rPr>
          <w:rFonts w:asciiTheme="majorBidi" w:hAnsiTheme="majorBidi" w:cstheme="majorBidi"/>
        </w:rPr>
        <w:t>Nombre de personnes bénéficiant d’un meilleur accès aux services essentiels grâce au projet, avec ventilation selon le genre, et selon le statut (réfugiés ou communautés d’accueil dans la zone des réfugiés et populations des autres villes) ;</w:t>
      </w:r>
    </w:p>
    <w:p w14:paraId="6BFD989A" w14:textId="77777777" w:rsidR="00306046" w:rsidRPr="00815508" w:rsidRDefault="00306046" w:rsidP="00306046">
      <w:pPr>
        <w:numPr>
          <w:ilvl w:val="0"/>
          <w:numId w:val="3"/>
        </w:numPr>
        <w:ind w:left="709"/>
        <w:rPr>
          <w:rFonts w:asciiTheme="majorBidi" w:hAnsiTheme="majorBidi" w:cstheme="majorBidi"/>
        </w:rPr>
      </w:pPr>
      <w:r w:rsidRPr="00815508">
        <w:rPr>
          <w:rFonts w:asciiTheme="majorBidi" w:hAnsiTheme="majorBidi" w:cstheme="majorBidi"/>
        </w:rPr>
        <w:t>Nombre de raccordements à l’électricité en résultats du projet ;</w:t>
      </w:r>
    </w:p>
    <w:p w14:paraId="7AD433B8" w14:textId="77777777" w:rsidR="00306046" w:rsidRPr="00815508" w:rsidRDefault="00306046" w:rsidP="00306046">
      <w:pPr>
        <w:numPr>
          <w:ilvl w:val="0"/>
          <w:numId w:val="3"/>
        </w:numPr>
        <w:ind w:left="709"/>
        <w:rPr>
          <w:rFonts w:asciiTheme="majorBidi" w:hAnsiTheme="majorBidi" w:cstheme="majorBidi"/>
        </w:rPr>
      </w:pPr>
      <w:r w:rsidRPr="00815508">
        <w:rPr>
          <w:rFonts w:asciiTheme="majorBidi" w:hAnsiTheme="majorBidi" w:cstheme="majorBidi"/>
        </w:rPr>
        <w:t>Part des acteurs économiques bénéficiaires du projet qui ont bénéficié d’un impact positif grâce aux infrastructures et aux services, ventilée par entreprise dont le chef est une femme et dont le chef est un réfugié ;</w:t>
      </w:r>
    </w:p>
    <w:p w14:paraId="39D109B6" w14:textId="77777777" w:rsidR="00306046" w:rsidRPr="00815508" w:rsidRDefault="00306046" w:rsidP="00306046">
      <w:pPr>
        <w:numPr>
          <w:ilvl w:val="0"/>
          <w:numId w:val="3"/>
        </w:numPr>
        <w:ind w:left="709"/>
        <w:rPr>
          <w:rFonts w:asciiTheme="majorBidi" w:hAnsiTheme="majorBidi" w:cstheme="majorBidi"/>
        </w:rPr>
      </w:pPr>
      <w:r w:rsidRPr="00815508">
        <w:rPr>
          <w:rFonts w:asciiTheme="majorBidi" w:hAnsiTheme="majorBidi" w:cstheme="majorBidi"/>
        </w:rPr>
        <w:t>Amélioration dans l’exécution du budget d’investissement des municipalités.</w:t>
      </w:r>
    </w:p>
    <w:p w14:paraId="236E6C4D" w14:textId="77777777" w:rsidR="00306046" w:rsidRPr="00815508" w:rsidRDefault="00306046" w:rsidP="00306046">
      <w:pPr>
        <w:rPr>
          <w:rFonts w:asciiTheme="majorBidi" w:hAnsiTheme="majorBidi" w:cstheme="majorBidi"/>
        </w:rPr>
      </w:pPr>
    </w:p>
    <w:p w14:paraId="5E3D9000" w14:textId="77777777" w:rsidR="00306046" w:rsidRPr="00815508" w:rsidRDefault="00306046" w:rsidP="00306046">
      <w:pPr>
        <w:rPr>
          <w:rFonts w:asciiTheme="majorBidi" w:hAnsiTheme="majorBidi" w:cstheme="majorBidi"/>
        </w:rPr>
      </w:pPr>
      <w:r w:rsidRPr="00815508">
        <w:rPr>
          <w:rFonts w:asciiTheme="majorBidi" w:hAnsiTheme="majorBidi" w:cstheme="majorBidi"/>
        </w:rPr>
        <w:t>L’atteinte de l'objectif de développement du Projet sera mesurée à mi-parcours et en fin de projet.</w:t>
      </w:r>
    </w:p>
    <w:p w14:paraId="142DD8EA" w14:textId="79EC909B" w:rsidR="00A80549" w:rsidRDefault="00A80549"/>
    <w:p w14:paraId="0C088020" w14:textId="77777777" w:rsidR="00306046" w:rsidRDefault="00306046" w:rsidP="00306046">
      <w:pPr>
        <w:rPr>
          <w:rFonts w:eastAsiaTheme="minorEastAsia" w:cs="Times New Roman"/>
          <w:b/>
          <w:bCs/>
          <w:i/>
          <w:iCs/>
          <w:szCs w:val="24"/>
          <w:lang w:eastAsia="ja-JP"/>
        </w:rPr>
      </w:pPr>
    </w:p>
    <w:p w14:paraId="40479314" w14:textId="77777777" w:rsidR="00306046" w:rsidRDefault="00306046" w:rsidP="00306046">
      <w:pPr>
        <w:rPr>
          <w:rFonts w:eastAsiaTheme="minorEastAsia" w:cs="Times New Roman"/>
          <w:b/>
          <w:bCs/>
          <w:i/>
          <w:iCs/>
          <w:szCs w:val="24"/>
          <w:lang w:eastAsia="ja-JP"/>
        </w:rPr>
      </w:pPr>
    </w:p>
    <w:p w14:paraId="45270FF9" w14:textId="77777777" w:rsidR="00306046" w:rsidRDefault="00306046" w:rsidP="00306046">
      <w:pPr>
        <w:rPr>
          <w:rFonts w:eastAsiaTheme="minorEastAsia" w:cs="Times New Roman"/>
          <w:b/>
          <w:bCs/>
          <w:i/>
          <w:iCs/>
          <w:szCs w:val="24"/>
          <w:lang w:eastAsia="ja-JP"/>
        </w:rPr>
      </w:pPr>
    </w:p>
    <w:p w14:paraId="434DC722" w14:textId="77777777" w:rsidR="00306046" w:rsidRDefault="00306046" w:rsidP="00306046">
      <w:pPr>
        <w:rPr>
          <w:rFonts w:eastAsiaTheme="minorEastAsia" w:cs="Times New Roman"/>
          <w:b/>
          <w:bCs/>
          <w:i/>
          <w:iCs/>
          <w:szCs w:val="24"/>
          <w:lang w:eastAsia="ja-JP"/>
        </w:rPr>
      </w:pPr>
    </w:p>
    <w:p w14:paraId="561FC261" w14:textId="77777777" w:rsidR="00306046" w:rsidRDefault="00306046" w:rsidP="00306046">
      <w:pPr>
        <w:rPr>
          <w:rFonts w:eastAsiaTheme="minorEastAsia" w:cs="Times New Roman"/>
          <w:b/>
          <w:bCs/>
          <w:i/>
          <w:iCs/>
          <w:szCs w:val="24"/>
          <w:lang w:eastAsia="ja-JP"/>
        </w:rPr>
      </w:pPr>
    </w:p>
    <w:p w14:paraId="3C820F9C" w14:textId="77777777" w:rsidR="00306046" w:rsidRDefault="00306046"/>
    <w:sectPr w:rsidR="00306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6659F"/>
    <w:multiLevelType w:val="hybridMultilevel"/>
    <w:tmpl w:val="424005B8"/>
    <w:lvl w:ilvl="0" w:tplc="ABDEFAAC">
      <w:start w:val="1"/>
      <w:numFmt w:val="upperLetter"/>
      <w:pStyle w:val="Titre2"/>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15:restartNumberingAfterBreak="0">
    <w:nsid w:val="274C43E0"/>
    <w:multiLevelType w:val="hybridMultilevel"/>
    <w:tmpl w:val="57305AD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7271526"/>
    <w:multiLevelType w:val="hybridMultilevel"/>
    <w:tmpl w:val="00D2CBD2"/>
    <w:lvl w:ilvl="0" w:tplc="5052ED10">
      <w:start w:val="1"/>
      <w:numFmt w:val="bullet"/>
      <w:lvlText w:val=""/>
      <w:lvlJc w:val="left"/>
      <w:pPr>
        <w:ind w:left="720" w:hanging="360"/>
      </w:pPr>
      <w:rPr>
        <w:rFonts w:ascii="Wingdings" w:hAnsi="Wingdings" w:cs="Wingdings" w:hint="default"/>
        <w:sz w:val="24"/>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614A6B"/>
    <w:multiLevelType w:val="hybridMultilevel"/>
    <w:tmpl w:val="4B86A122"/>
    <w:lvl w:ilvl="0" w:tplc="07B4CFD6">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1E0E8E"/>
    <w:multiLevelType w:val="hybridMultilevel"/>
    <w:tmpl w:val="182E0814"/>
    <w:lvl w:ilvl="0" w:tplc="AC0A683E">
      <w:start w:val="80"/>
      <w:numFmt w:val="bullet"/>
      <w:lvlText w:val="-"/>
      <w:lvlJc w:val="left"/>
      <w:pPr>
        <w:ind w:left="1080" w:hanging="360"/>
      </w:pPr>
      <w:rPr>
        <w:rFonts w:ascii="Times New Roman" w:eastAsia="Times New Roman" w:hAnsi="Times New Roman"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5A66008"/>
    <w:multiLevelType w:val="hybridMultilevel"/>
    <w:tmpl w:val="E66C7B1A"/>
    <w:lvl w:ilvl="0" w:tplc="5948B68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DC5538B"/>
    <w:multiLevelType w:val="hybridMultilevel"/>
    <w:tmpl w:val="6708F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37"/>
    <w:rsid w:val="00171BAC"/>
    <w:rsid w:val="001B5630"/>
    <w:rsid w:val="0028333C"/>
    <w:rsid w:val="00306046"/>
    <w:rsid w:val="007C65CB"/>
    <w:rsid w:val="00850BCA"/>
    <w:rsid w:val="00A80549"/>
    <w:rsid w:val="00CA3BA8"/>
    <w:rsid w:val="00DB7DB2"/>
    <w:rsid w:val="00E66D37"/>
    <w:rsid w:val="00EB3A42"/>
    <w:rsid w:val="00FC2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36A0"/>
  <w15:chartTrackingRefBased/>
  <w15:docId w15:val="{F1FAF20A-BA93-46FB-9362-ED53EA9C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046"/>
    <w:pPr>
      <w:spacing w:after="0" w:line="240" w:lineRule="auto"/>
      <w:jc w:val="both"/>
    </w:pPr>
    <w:rPr>
      <w:rFonts w:ascii="Times New Roman" w:hAnsi="Times New Roman"/>
      <w:sz w:val="24"/>
    </w:rPr>
  </w:style>
  <w:style w:type="paragraph" w:styleId="Titre1">
    <w:name w:val="heading 1"/>
    <w:aliases w:val="Main Heading,TCI 1.  Heading,Main Heading 1,Chapitre 1,titre n1,Titre 1 Car Car Car,1,Title 1,Titre 1 Car Car Car Car Car Car Car Car Car Car Car Car Car Car Car Car Car Car,Document Header1, 1, 2, Main Heading, 3, 11"/>
    <w:basedOn w:val="Normal"/>
    <w:next w:val="Normal"/>
    <w:link w:val="Titre1Car"/>
    <w:qFormat/>
    <w:rsid w:val="00306046"/>
    <w:pPr>
      <w:keepNext/>
      <w:keepLines/>
      <w:numPr>
        <w:numId w:val="1"/>
      </w:numPr>
      <w:outlineLvl w:val="0"/>
    </w:pPr>
    <w:rPr>
      <w:rFonts w:eastAsiaTheme="majorEastAsia" w:cstheme="majorBidi"/>
      <w:b/>
      <w:bCs/>
      <w:color w:val="0000CC"/>
      <w:szCs w:val="28"/>
    </w:rPr>
  </w:style>
  <w:style w:type="paragraph" w:styleId="Titre2">
    <w:name w:val="heading 2"/>
    <w:aliases w:val="Paranum,alec2,Chapitre 2,an,(1.1),Titre secondaire (2),Titre secondaire (2) Car,Reset numbering,Major,Heading 2 Char3,Heading 2 Char1 Char,Heading 2 Char Char Char,Heading 2 Char1 Char Char Char,Heading 2 Char Char Char Char Char"/>
    <w:basedOn w:val="Normal"/>
    <w:next w:val="Normal"/>
    <w:link w:val="Titre2Car"/>
    <w:unhideWhenUsed/>
    <w:qFormat/>
    <w:rsid w:val="00306046"/>
    <w:pPr>
      <w:keepNext/>
      <w:keepLines/>
      <w:numPr>
        <w:numId w:val="2"/>
      </w:numPr>
      <w:outlineLvl w:val="1"/>
    </w:pPr>
    <w:rPr>
      <w:rFonts w:eastAsiaTheme="majorEastAsia" w:cstheme="majorBidi"/>
      <w:b/>
      <w:bCs/>
      <w:color w:val="0080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Main Heading Car,TCI 1.  Heading Car,Main Heading 1 Car,Chapitre 1 Car,titre n1 Car,Titre 1 Car Car Car Car,1 Car,Title 1 Car,Titre 1 Car Car Car Car Car Car Car Car Car Car Car Car Car Car Car Car Car Car Car,Document Header1 Car, 1 Car"/>
    <w:basedOn w:val="Policepardfaut"/>
    <w:link w:val="Titre1"/>
    <w:rsid w:val="00306046"/>
    <w:rPr>
      <w:rFonts w:ascii="Times New Roman" w:eastAsiaTheme="majorEastAsia" w:hAnsi="Times New Roman" w:cstheme="majorBidi"/>
      <w:b/>
      <w:bCs/>
      <w:color w:val="0000CC"/>
      <w:sz w:val="24"/>
      <w:szCs w:val="28"/>
    </w:rPr>
  </w:style>
  <w:style w:type="character" w:customStyle="1" w:styleId="Titre2Car">
    <w:name w:val="Titre 2 Car"/>
    <w:aliases w:val="Paranum Car,alec2 Car,Chapitre 2 Car,an Car,(1.1) Car,Titre secondaire (2) Car1,Titre secondaire (2) Car Car,Reset numbering Car,Major Car,Heading 2 Char3 Car,Heading 2 Char1 Char Car,Heading 2 Char Char Char Car"/>
    <w:basedOn w:val="Policepardfaut"/>
    <w:link w:val="Titre2"/>
    <w:rsid w:val="00306046"/>
    <w:rPr>
      <w:rFonts w:ascii="Times New Roman" w:eastAsiaTheme="majorEastAsia" w:hAnsi="Times New Roman" w:cstheme="majorBidi"/>
      <w:b/>
      <w:bCs/>
      <w:color w:val="008000"/>
      <w:sz w:val="24"/>
      <w:szCs w:val="26"/>
    </w:rPr>
  </w:style>
  <w:style w:type="paragraph" w:styleId="Paragraphedeliste">
    <w:name w:val="List Paragraph"/>
    <w:aliases w:val="Bullets,References,Liste 1,Numbered List Paragraph,ReferencesCxSpLast,List Paragraph (numbered (a)),Paragraphe de liste11,WB List Paragraph,Paragraphe  revu,Bullet L1,Desmond 2,Medium Grid 1 - Accent 21,List Paragraph nowy,texte,lp1"/>
    <w:basedOn w:val="Normal"/>
    <w:link w:val="ParagraphedelisteCar"/>
    <w:uiPriority w:val="34"/>
    <w:qFormat/>
    <w:rsid w:val="00306046"/>
    <w:pPr>
      <w:ind w:left="720"/>
      <w:contextualSpacing/>
    </w:pPr>
  </w:style>
  <w:style w:type="character" w:customStyle="1" w:styleId="ParagraphedelisteCar">
    <w:name w:val="Paragraphe de liste Car"/>
    <w:aliases w:val="Bullets Car,References Car,Liste 1 Car,Numbered List Paragraph Car,ReferencesCxSpLast Car,List Paragraph (numbered (a)) Car,Paragraphe de liste11 Car,WB List Paragraph Car,Paragraphe  revu Car,Bullet L1 Car,Desmond 2 Car,lp1 Car"/>
    <w:link w:val="Paragraphedeliste"/>
    <w:uiPriority w:val="34"/>
    <w:qFormat/>
    <w:locked/>
    <w:rsid w:val="0030604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1405</Words>
  <Characters>7729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5</cp:revision>
  <dcterms:created xsi:type="dcterms:W3CDTF">2021-01-18T10:49:00Z</dcterms:created>
  <dcterms:modified xsi:type="dcterms:W3CDTF">2021-01-19T14:08:00Z</dcterms:modified>
</cp:coreProperties>
</file>